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7ED28">
      <w:pPr>
        <w:numPr>
          <w:ilvl w:val="0"/>
          <w:numId w:val="0"/>
        </w:numPr>
        <w:spacing w:line="360" w:lineRule="auto"/>
        <w:jc w:val="center"/>
        <w:outlineLvl w:val="1"/>
        <w:rPr>
          <w:rFonts w:hint="eastAsia" w:ascii="宋体" w:hAnsi="宋体" w:cs="宋体"/>
          <w:b/>
          <w:color w:val="auto"/>
          <w:kern w:val="2"/>
          <w:sz w:val="28"/>
          <w:szCs w:val="28"/>
          <w:lang w:val="en-US" w:eastAsia="zh-CN" w:bidi="ar-SA"/>
        </w:rPr>
      </w:pPr>
      <w:bookmarkStart w:id="0" w:name="_Toc19281"/>
      <w:r>
        <w:rPr>
          <w:rFonts w:hint="eastAsia" w:ascii="宋体" w:hAnsi="宋体" w:cs="宋体"/>
          <w:b/>
          <w:color w:val="auto"/>
          <w:kern w:val="2"/>
          <w:sz w:val="28"/>
          <w:szCs w:val="28"/>
          <w:lang w:val="en-US" w:eastAsia="zh-CN" w:bidi="ar-SA"/>
        </w:rPr>
        <w:t>海南省精神卫生信息管理系统运维采购项目</w:t>
      </w:r>
    </w:p>
    <w:p w14:paraId="2643B322">
      <w:pPr>
        <w:numPr>
          <w:ilvl w:val="0"/>
          <w:numId w:val="0"/>
        </w:numPr>
        <w:spacing w:line="360" w:lineRule="auto"/>
        <w:jc w:val="center"/>
        <w:outlineLvl w:val="1"/>
        <w:rPr>
          <w:rFonts w:hint="default" w:ascii="宋体" w:hAnsi="宋体" w:cs="宋体"/>
          <w:b/>
          <w:color w:val="auto"/>
          <w:kern w:val="2"/>
          <w:sz w:val="28"/>
          <w:szCs w:val="28"/>
          <w:lang w:val="en-US" w:eastAsia="zh-CN" w:bidi="ar-SA"/>
        </w:rPr>
      </w:pPr>
      <w:r>
        <w:rPr>
          <w:rFonts w:hint="eastAsia" w:ascii="宋体" w:hAnsi="宋体" w:cs="宋体"/>
          <w:b/>
          <w:color w:val="auto"/>
          <w:kern w:val="2"/>
          <w:sz w:val="28"/>
          <w:szCs w:val="28"/>
          <w:lang w:val="en-US" w:eastAsia="zh-CN" w:bidi="ar-SA"/>
        </w:rPr>
        <w:t>综合评分表</w:t>
      </w:r>
    </w:p>
    <w:bookmarkEnd w:id="0"/>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5"/>
        <w:gridCol w:w="760"/>
        <w:gridCol w:w="1344"/>
        <w:gridCol w:w="5035"/>
        <w:gridCol w:w="979"/>
      </w:tblGrid>
      <w:tr w14:paraId="710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5" w:hRule="atLeast"/>
          <w:tblHeader/>
          <w:jc w:val="center"/>
        </w:trPr>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4FA4324C">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7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63074CB">
            <w:pPr>
              <w:widowControl/>
              <w:jc w:val="center"/>
              <w:rPr>
                <w:rFonts w:ascii="宋体" w:hAnsi="宋体" w:cs="宋体"/>
                <w:kern w:val="0"/>
                <w:szCs w:val="21"/>
              </w:rPr>
            </w:pPr>
            <w:r>
              <w:rPr>
                <w:rFonts w:hint="eastAsia" w:ascii="宋体" w:hAnsi="宋体" w:cs="宋体"/>
                <w:b/>
                <w:bCs/>
                <w:color w:val="000000"/>
                <w:kern w:val="0"/>
                <w:szCs w:val="21"/>
              </w:rPr>
              <w:t>项目</w:t>
            </w:r>
          </w:p>
        </w:tc>
        <w:tc>
          <w:tcPr>
            <w:tcW w:w="13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B91732C">
            <w:pPr>
              <w:widowControl/>
              <w:jc w:val="center"/>
              <w:rPr>
                <w:rFonts w:ascii="宋体" w:hAnsi="宋体" w:cs="宋体"/>
                <w:b/>
                <w:kern w:val="0"/>
                <w:szCs w:val="21"/>
              </w:rPr>
            </w:pPr>
            <w:r>
              <w:rPr>
                <w:rFonts w:hint="eastAsia" w:ascii="宋体" w:hAnsi="宋体" w:cs="宋体"/>
                <w:b/>
                <w:kern w:val="0"/>
                <w:szCs w:val="21"/>
              </w:rPr>
              <w:t>主要内容</w:t>
            </w: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F6A577B">
            <w:pPr>
              <w:widowControl/>
              <w:jc w:val="center"/>
              <w:rPr>
                <w:rFonts w:ascii="宋体" w:hAnsi="宋体" w:cs="宋体"/>
                <w:kern w:val="0"/>
                <w:szCs w:val="21"/>
              </w:rPr>
            </w:pPr>
            <w:r>
              <w:rPr>
                <w:rFonts w:hint="eastAsia" w:ascii="宋体" w:hAnsi="宋体" w:cs="宋体"/>
                <w:b/>
                <w:bCs/>
                <w:color w:val="000000"/>
                <w:kern w:val="0"/>
                <w:szCs w:val="21"/>
              </w:rPr>
              <w:t>指标要求</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B47A525">
            <w:pPr>
              <w:widowControl/>
              <w:jc w:val="center"/>
              <w:rPr>
                <w:rFonts w:ascii="宋体" w:hAnsi="宋体" w:cs="宋体"/>
                <w:b/>
                <w:bCs/>
                <w:color w:val="000000"/>
                <w:kern w:val="0"/>
                <w:szCs w:val="21"/>
              </w:rPr>
            </w:pPr>
            <w:r>
              <w:rPr>
                <w:rFonts w:hint="eastAsia" w:ascii="宋体" w:hAnsi="宋体" w:cs="宋体"/>
                <w:b/>
                <w:bCs/>
                <w:color w:val="000000"/>
                <w:kern w:val="0"/>
                <w:szCs w:val="21"/>
              </w:rPr>
              <w:t>细项分值</w:t>
            </w:r>
          </w:p>
        </w:tc>
      </w:tr>
      <w:tr w14:paraId="096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005ECE7D">
            <w:pPr>
              <w:widowControl/>
              <w:jc w:val="center"/>
              <w:rPr>
                <w:rFonts w:ascii="宋体" w:hAnsi="宋体" w:cs="宋体"/>
                <w:b/>
                <w:color w:val="000000"/>
                <w:kern w:val="0"/>
                <w:szCs w:val="21"/>
              </w:rPr>
            </w:pPr>
            <w:r>
              <w:rPr>
                <w:rFonts w:hint="eastAsia" w:ascii="宋体" w:hAnsi="宋体" w:cs="宋体"/>
                <w:b/>
                <w:color w:val="000000"/>
                <w:kern w:val="0"/>
                <w:szCs w:val="21"/>
              </w:rPr>
              <w:t>一</w:t>
            </w:r>
          </w:p>
        </w:tc>
        <w:tc>
          <w:tcPr>
            <w:tcW w:w="2104"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35F73F5">
            <w:pPr>
              <w:widowControl/>
              <w:jc w:val="center"/>
              <w:rPr>
                <w:rFonts w:ascii="宋体" w:hAnsi="宋体" w:cs="宋体"/>
                <w:b/>
                <w:color w:val="000000"/>
                <w:kern w:val="0"/>
                <w:szCs w:val="21"/>
              </w:rPr>
            </w:pPr>
            <w:r>
              <w:rPr>
                <w:rFonts w:hint="eastAsia" w:ascii="宋体" w:hAnsi="宋体" w:cs="宋体"/>
                <w:b/>
                <w:color w:val="000000"/>
                <w:kern w:val="0"/>
                <w:szCs w:val="21"/>
              </w:rPr>
              <w:t>价格部分（10分）</w:t>
            </w: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7E574AD">
            <w:pPr>
              <w:widowControl/>
              <w:rPr>
                <w:rFonts w:ascii="宋体" w:hAnsi="宋体" w:cs="宋体"/>
                <w:kern w:val="0"/>
                <w:szCs w:val="21"/>
              </w:rPr>
            </w:pPr>
            <w:r>
              <w:rPr>
                <w:rFonts w:hint="eastAsia" w:ascii="宋体" w:hAnsi="宋体" w:cs="宋体"/>
                <w:kern w:val="0"/>
                <w:szCs w:val="21"/>
              </w:rPr>
              <w:t>满足招标文件要求且所有有效投标人的投标报价的最低价为评标基准价，其价格分为满分。其他投标人的价格得分=（评标基准价/投标报价）×10</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66B2E56">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2265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465" w:type="dxa"/>
            <w:vMerge w:val="restart"/>
            <w:tcBorders>
              <w:top w:val="single" w:color="auto" w:sz="4" w:space="0"/>
              <w:left w:val="single" w:color="auto" w:sz="4" w:space="0"/>
              <w:right w:val="single" w:color="auto" w:sz="4" w:space="0"/>
            </w:tcBorders>
            <w:shd w:val="clear" w:color="auto" w:fill="FFFFFF"/>
            <w:vAlign w:val="center"/>
          </w:tcPr>
          <w:p w14:paraId="5F6EBE15">
            <w:pPr>
              <w:widowControl/>
              <w:jc w:val="center"/>
              <w:rPr>
                <w:rFonts w:ascii="宋体" w:hAnsi="宋体" w:cs="宋体"/>
                <w:b/>
                <w:color w:val="000000"/>
                <w:kern w:val="0"/>
                <w:szCs w:val="21"/>
              </w:rPr>
            </w:pPr>
            <w:r>
              <w:rPr>
                <w:rFonts w:hint="eastAsia" w:ascii="宋体" w:hAnsi="宋体" w:cs="宋体"/>
                <w:b/>
                <w:color w:val="000000"/>
                <w:kern w:val="0"/>
                <w:szCs w:val="21"/>
              </w:rPr>
              <w:t>二</w:t>
            </w:r>
          </w:p>
        </w:tc>
        <w:tc>
          <w:tcPr>
            <w:tcW w:w="760" w:type="dxa"/>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2AD87305">
            <w:pPr>
              <w:widowControl/>
              <w:jc w:val="center"/>
              <w:rPr>
                <w:rFonts w:ascii="宋体" w:hAnsi="宋体" w:cs="宋体"/>
                <w:b/>
                <w:kern w:val="0"/>
                <w:szCs w:val="21"/>
              </w:rPr>
            </w:pPr>
            <w:r>
              <w:rPr>
                <w:rFonts w:hint="eastAsia" w:ascii="宋体" w:hAnsi="宋体" w:cs="宋体"/>
                <w:b/>
                <w:color w:val="000000"/>
                <w:kern w:val="0"/>
                <w:szCs w:val="21"/>
              </w:rPr>
              <w:t>商务部分（30分）</w:t>
            </w:r>
          </w:p>
        </w:tc>
        <w:tc>
          <w:tcPr>
            <w:tcW w:w="1344"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0DC5C8BD">
            <w:pPr>
              <w:widowControl/>
              <w:jc w:val="center"/>
              <w:rPr>
                <w:rFonts w:ascii="宋体" w:hAnsi="宋体" w:cs="宋体"/>
                <w:color w:val="000000"/>
                <w:kern w:val="0"/>
                <w:szCs w:val="21"/>
              </w:rPr>
            </w:pPr>
            <w:r>
              <w:rPr>
                <w:rFonts w:hint="eastAsia" w:ascii="宋体" w:hAnsi="宋体" w:cs="宋体"/>
                <w:color w:val="000000"/>
                <w:kern w:val="0"/>
                <w:szCs w:val="21"/>
              </w:rPr>
              <w:t>投标人业绩（10分）</w:t>
            </w: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6FCAADE1">
            <w:pPr>
              <w:rPr>
                <w:rFonts w:ascii="宋体" w:hAnsi="宋体" w:cs="宋体"/>
                <w:szCs w:val="21"/>
              </w:rPr>
            </w:pPr>
            <w:r>
              <w:rPr>
                <w:rFonts w:hint="eastAsia" w:ascii="宋体" w:hAnsi="宋体" w:cs="宋体"/>
                <w:szCs w:val="21"/>
              </w:rPr>
              <w:t>投标人自2024年1月1日至本项目投标截止日（以合同签订时间为准）的同类信息化运维项目业绩，每提供一个案例合同得2分，最高得10分。（须提供项目合同复印件关键页，并加盖投标人公章，合同乙方名称应和投标人名称一致，投标人合法变更名称且附证明资料的除外，纯硬件合同不得分）。</w:t>
            </w:r>
          </w:p>
        </w:tc>
        <w:tc>
          <w:tcPr>
            <w:tcW w:w="979" w:type="dxa"/>
            <w:tcBorders>
              <w:top w:val="single" w:color="auto" w:sz="4" w:space="0"/>
              <w:left w:val="single" w:color="auto" w:sz="4" w:space="0"/>
              <w:right w:val="single" w:color="auto" w:sz="4" w:space="0"/>
            </w:tcBorders>
            <w:shd w:val="clear" w:color="auto" w:fill="FFFFFF"/>
            <w:vAlign w:val="center"/>
          </w:tcPr>
          <w:p w14:paraId="17FC70C4">
            <w:pPr>
              <w:widowControl/>
              <w:jc w:val="center"/>
              <w:rPr>
                <w:rFonts w:ascii="宋体" w:hAnsi="宋体" w:cs="宋体"/>
                <w:color w:val="000000"/>
                <w:kern w:val="0"/>
                <w:szCs w:val="21"/>
              </w:rPr>
            </w:pPr>
            <w:r>
              <w:rPr>
                <w:rFonts w:hint="eastAsia" w:ascii="宋体" w:hAnsi="宋体" w:cs="宋体"/>
                <w:kern w:val="0"/>
                <w:szCs w:val="21"/>
              </w:rPr>
              <w:t>10</w:t>
            </w:r>
          </w:p>
        </w:tc>
      </w:tr>
      <w:tr w14:paraId="319E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5" w:type="dxa"/>
            <w:vMerge w:val="continue"/>
            <w:tcBorders>
              <w:left w:val="single" w:color="auto" w:sz="4" w:space="0"/>
              <w:right w:val="single" w:color="auto" w:sz="4" w:space="0"/>
            </w:tcBorders>
            <w:shd w:val="clear" w:color="auto" w:fill="FFFFFF"/>
            <w:vAlign w:val="center"/>
          </w:tcPr>
          <w:p w14:paraId="699D1851">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2F82C89C">
            <w:pPr>
              <w:widowControl/>
              <w:jc w:val="center"/>
              <w:rPr>
                <w:rFonts w:ascii="宋体" w:hAnsi="宋体" w:cs="宋体"/>
                <w:b/>
                <w:color w:val="000000"/>
                <w:kern w:val="0"/>
                <w:szCs w:val="21"/>
              </w:rPr>
            </w:pPr>
          </w:p>
        </w:tc>
        <w:tc>
          <w:tcPr>
            <w:tcW w:w="1344" w:type="dxa"/>
            <w:vMerge w:val="restart"/>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61325B7B">
            <w:pPr>
              <w:jc w:val="center"/>
              <w:rPr>
                <w:rFonts w:ascii="宋体" w:hAnsi="宋体" w:cs="宋体"/>
                <w:color w:val="000000"/>
                <w:kern w:val="0"/>
                <w:szCs w:val="21"/>
              </w:rPr>
            </w:pPr>
            <w:r>
              <w:rPr>
                <w:rFonts w:hint="eastAsia" w:ascii="宋体" w:hAnsi="宋体" w:cs="宋体"/>
                <w:color w:val="000000"/>
                <w:kern w:val="0"/>
                <w:szCs w:val="21"/>
              </w:rPr>
              <w:t>投标人综合能力（20分）</w:t>
            </w: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3F54984B">
            <w:pPr>
              <w:jc w:val="left"/>
              <w:rPr>
                <w:rFonts w:ascii="宋体" w:hAnsi="宋体" w:cs="宋体"/>
                <w:color w:val="000000"/>
                <w:kern w:val="0"/>
                <w:szCs w:val="21"/>
              </w:rPr>
            </w:pPr>
            <w:r>
              <w:rPr>
                <w:rFonts w:hint="eastAsia" w:ascii="宋体" w:hAnsi="宋体" w:cs="宋体"/>
                <w:color w:val="000000"/>
                <w:kern w:val="0"/>
                <w:szCs w:val="21"/>
              </w:rPr>
              <w:t>投标人具有有效的ISO9001质量管理体系认证证书、ISO20000信息技术服务管理体系认证证书、ISO27001信息安全管理体系认证证书，每提供一个得2分，最高6分。（须提供证书复印件并加盖投标人公章）</w:t>
            </w:r>
          </w:p>
        </w:tc>
        <w:tc>
          <w:tcPr>
            <w:tcW w:w="979" w:type="dxa"/>
            <w:tcBorders>
              <w:left w:val="single" w:color="auto" w:sz="4" w:space="0"/>
              <w:right w:val="single" w:color="auto" w:sz="4" w:space="0"/>
            </w:tcBorders>
            <w:shd w:val="clear" w:color="auto" w:fill="FFFFFF"/>
            <w:vAlign w:val="center"/>
          </w:tcPr>
          <w:p w14:paraId="53901978">
            <w:pPr>
              <w:jc w:val="center"/>
              <w:rPr>
                <w:rFonts w:ascii="宋体" w:hAnsi="宋体" w:cs="宋体"/>
                <w:kern w:val="0"/>
                <w:szCs w:val="21"/>
              </w:rPr>
            </w:pPr>
            <w:r>
              <w:rPr>
                <w:rFonts w:hint="eastAsia" w:ascii="宋体" w:hAnsi="宋体" w:cs="宋体"/>
                <w:kern w:val="0"/>
                <w:szCs w:val="21"/>
              </w:rPr>
              <w:t>6</w:t>
            </w:r>
          </w:p>
        </w:tc>
      </w:tr>
      <w:tr w14:paraId="6BA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465" w:type="dxa"/>
            <w:vMerge w:val="continue"/>
            <w:tcBorders>
              <w:left w:val="single" w:color="auto" w:sz="4" w:space="0"/>
              <w:right w:val="single" w:color="auto" w:sz="4" w:space="0"/>
            </w:tcBorders>
            <w:shd w:val="clear" w:color="auto" w:fill="FFFFFF"/>
            <w:vAlign w:val="center"/>
          </w:tcPr>
          <w:p w14:paraId="7FCCB701">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399A2CA2">
            <w:pPr>
              <w:widowControl/>
              <w:jc w:val="center"/>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32012F37">
            <w:pPr>
              <w:jc w:val="center"/>
              <w:rPr>
                <w:rFonts w:ascii="宋体" w:hAnsi="宋体" w:cs="宋体"/>
                <w:color w:val="000000"/>
                <w:kern w:val="0"/>
                <w:szCs w:val="21"/>
              </w:rPr>
            </w:pP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1528520D">
            <w:pPr>
              <w:rPr>
                <w:rFonts w:ascii="宋体" w:hAnsi="宋体" w:cs="宋体"/>
                <w:szCs w:val="21"/>
              </w:rPr>
            </w:pPr>
            <w:r>
              <w:rPr>
                <w:rFonts w:hint="eastAsia" w:ascii="宋体" w:hAnsi="宋体" w:cs="宋体"/>
                <w:szCs w:val="21"/>
              </w:rPr>
              <w:t>投标人具有</w:t>
            </w:r>
            <w:r>
              <w:rPr>
                <w:rFonts w:hint="eastAsia" w:ascii="宋体" w:hAnsi="宋体" w:cs="宋体"/>
                <w:color w:val="000000"/>
                <w:kern w:val="0"/>
                <w:szCs w:val="21"/>
              </w:rPr>
              <w:t>有效的</w:t>
            </w:r>
            <w:r>
              <w:rPr>
                <w:rFonts w:hint="eastAsia" w:ascii="宋体" w:hAnsi="宋体" w:cs="宋体"/>
                <w:szCs w:val="21"/>
              </w:rPr>
              <w:t>ITSS信息技术服务运行维护标准一级证书的，得2分，没有得0分。（须提供证书复印件并加盖投标人公章）</w:t>
            </w:r>
          </w:p>
        </w:tc>
        <w:tc>
          <w:tcPr>
            <w:tcW w:w="979" w:type="dxa"/>
            <w:tcBorders>
              <w:left w:val="single" w:color="auto" w:sz="4" w:space="0"/>
              <w:right w:val="single" w:color="auto" w:sz="4" w:space="0"/>
            </w:tcBorders>
            <w:shd w:val="clear" w:color="auto" w:fill="FFFFFF"/>
            <w:vAlign w:val="center"/>
          </w:tcPr>
          <w:p w14:paraId="533BF3F9">
            <w:pPr>
              <w:jc w:val="center"/>
              <w:rPr>
                <w:rFonts w:ascii="宋体" w:hAnsi="宋体" w:cs="宋体"/>
                <w:kern w:val="0"/>
                <w:szCs w:val="21"/>
              </w:rPr>
            </w:pPr>
            <w:r>
              <w:rPr>
                <w:rFonts w:hint="eastAsia" w:ascii="宋体" w:hAnsi="宋体" w:cs="宋体"/>
                <w:kern w:val="0"/>
                <w:szCs w:val="21"/>
              </w:rPr>
              <w:t>2</w:t>
            </w:r>
          </w:p>
        </w:tc>
      </w:tr>
      <w:tr w14:paraId="0C7B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465" w:type="dxa"/>
            <w:vMerge w:val="continue"/>
            <w:tcBorders>
              <w:left w:val="single" w:color="auto" w:sz="4" w:space="0"/>
              <w:right w:val="single" w:color="auto" w:sz="4" w:space="0"/>
            </w:tcBorders>
            <w:shd w:val="clear" w:color="auto" w:fill="FFFFFF"/>
            <w:vAlign w:val="center"/>
          </w:tcPr>
          <w:p w14:paraId="6EB9F653">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4E44F979">
            <w:pPr>
              <w:widowControl/>
              <w:jc w:val="center"/>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681D5085">
            <w:pPr>
              <w:jc w:val="center"/>
              <w:rPr>
                <w:rFonts w:ascii="宋体" w:hAnsi="宋体" w:cs="宋体"/>
                <w:color w:val="000000"/>
                <w:kern w:val="0"/>
                <w:szCs w:val="21"/>
              </w:rPr>
            </w:pP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51E803DC">
            <w:pPr>
              <w:rPr>
                <w:rFonts w:ascii="宋体" w:hAnsi="宋体" w:cs="宋体"/>
                <w:szCs w:val="21"/>
              </w:rPr>
            </w:pPr>
            <w:r>
              <w:rPr>
                <w:rFonts w:hint="eastAsia" w:ascii="宋体" w:hAnsi="宋体" w:cs="宋体"/>
                <w:szCs w:val="21"/>
              </w:rPr>
              <w:t>投标人具有</w:t>
            </w:r>
            <w:r>
              <w:rPr>
                <w:rFonts w:hint="eastAsia" w:ascii="宋体" w:hAnsi="宋体" w:cs="宋体"/>
                <w:color w:val="000000"/>
                <w:kern w:val="0"/>
                <w:szCs w:val="21"/>
              </w:rPr>
              <w:t>有效的</w:t>
            </w:r>
            <w:r>
              <w:rPr>
                <w:rFonts w:hint="eastAsia" w:ascii="宋体" w:hAnsi="宋体" w:cs="宋体"/>
                <w:szCs w:val="21"/>
              </w:rPr>
              <w:t>信息系统建设和服务能力等级CS4及以上证书的，得2分，没有得0分。（需提供证书复印件并加盖投标人公章）</w:t>
            </w:r>
          </w:p>
        </w:tc>
        <w:tc>
          <w:tcPr>
            <w:tcW w:w="979" w:type="dxa"/>
            <w:tcBorders>
              <w:left w:val="single" w:color="auto" w:sz="4" w:space="0"/>
              <w:right w:val="single" w:color="auto" w:sz="4" w:space="0"/>
            </w:tcBorders>
            <w:shd w:val="clear" w:color="auto" w:fill="FFFFFF"/>
            <w:vAlign w:val="center"/>
          </w:tcPr>
          <w:p w14:paraId="130AED85">
            <w:pPr>
              <w:jc w:val="center"/>
              <w:rPr>
                <w:rFonts w:ascii="宋体" w:hAnsi="宋体" w:cs="宋体"/>
                <w:kern w:val="0"/>
                <w:szCs w:val="21"/>
              </w:rPr>
            </w:pPr>
            <w:r>
              <w:rPr>
                <w:rFonts w:hint="eastAsia" w:ascii="宋体" w:hAnsi="宋体" w:cs="宋体"/>
                <w:kern w:val="0"/>
                <w:szCs w:val="21"/>
              </w:rPr>
              <w:t>2</w:t>
            </w:r>
          </w:p>
        </w:tc>
      </w:tr>
      <w:tr w14:paraId="24AF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465" w:type="dxa"/>
            <w:vMerge w:val="continue"/>
            <w:tcBorders>
              <w:left w:val="single" w:color="auto" w:sz="4" w:space="0"/>
              <w:right w:val="single" w:color="auto" w:sz="4" w:space="0"/>
            </w:tcBorders>
            <w:shd w:val="clear" w:color="auto" w:fill="FFFFFF"/>
            <w:vAlign w:val="center"/>
          </w:tcPr>
          <w:p w14:paraId="665E12E8">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012966DD">
            <w:pPr>
              <w:widowControl/>
              <w:jc w:val="center"/>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056560CC">
            <w:pPr>
              <w:jc w:val="center"/>
              <w:rPr>
                <w:rFonts w:ascii="宋体" w:hAnsi="宋体" w:cs="宋体"/>
                <w:color w:val="000000"/>
                <w:kern w:val="0"/>
                <w:szCs w:val="21"/>
              </w:rPr>
            </w:pP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66A738E3">
            <w:pPr>
              <w:rPr>
                <w:rFonts w:ascii="宋体" w:hAnsi="宋体" w:cs="宋体"/>
                <w:szCs w:val="21"/>
              </w:rPr>
            </w:pPr>
            <w:r>
              <w:rPr>
                <w:rFonts w:hint="eastAsia" w:ascii="宋体" w:hAnsi="宋体" w:cs="宋体"/>
                <w:szCs w:val="21"/>
              </w:rPr>
              <w:t>投标人具有</w:t>
            </w:r>
            <w:r>
              <w:rPr>
                <w:rFonts w:hint="eastAsia" w:ascii="宋体" w:hAnsi="宋体" w:cs="宋体"/>
                <w:color w:val="000000"/>
                <w:kern w:val="0"/>
                <w:szCs w:val="21"/>
              </w:rPr>
              <w:t>有效的</w:t>
            </w:r>
            <w:r>
              <w:rPr>
                <w:rFonts w:hint="eastAsia" w:ascii="宋体" w:hAnsi="宋体" w:cs="宋体"/>
                <w:szCs w:val="21"/>
              </w:rPr>
              <w:t>信息系统安全集成服务一级资质(CCRC)证书的，得2分，没有得0分。（需提供证书复印件并加盖投标人公章）</w:t>
            </w:r>
          </w:p>
        </w:tc>
        <w:tc>
          <w:tcPr>
            <w:tcW w:w="979" w:type="dxa"/>
            <w:tcBorders>
              <w:left w:val="single" w:color="auto" w:sz="4" w:space="0"/>
              <w:right w:val="single" w:color="auto" w:sz="4" w:space="0"/>
            </w:tcBorders>
            <w:shd w:val="clear" w:color="auto" w:fill="FFFFFF"/>
            <w:vAlign w:val="center"/>
          </w:tcPr>
          <w:p w14:paraId="288CF892">
            <w:pPr>
              <w:jc w:val="center"/>
              <w:rPr>
                <w:rFonts w:ascii="宋体" w:hAnsi="宋体" w:cs="宋体"/>
                <w:kern w:val="0"/>
                <w:szCs w:val="21"/>
              </w:rPr>
            </w:pPr>
            <w:r>
              <w:rPr>
                <w:rFonts w:hint="eastAsia" w:ascii="宋体" w:hAnsi="宋体" w:cs="宋体"/>
                <w:kern w:val="0"/>
                <w:szCs w:val="21"/>
              </w:rPr>
              <w:t>2</w:t>
            </w:r>
          </w:p>
        </w:tc>
      </w:tr>
      <w:tr w14:paraId="143A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465" w:type="dxa"/>
            <w:vMerge w:val="continue"/>
            <w:tcBorders>
              <w:left w:val="single" w:color="auto" w:sz="4" w:space="0"/>
              <w:right w:val="single" w:color="auto" w:sz="4" w:space="0"/>
            </w:tcBorders>
            <w:shd w:val="clear" w:color="auto" w:fill="FFFFFF"/>
            <w:vAlign w:val="center"/>
          </w:tcPr>
          <w:p w14:paraId="2FF4A4E6">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6525758F">
            <w:pPr>
              <w:widowControl/>
              <w:jc w:val="center"/>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06CB73E5">
            <w:pPr>
              <w:jc w:val="center"/>
              <w:rPr>
                <w:rFonts w:ascii="宋体" w:hAnsi="宋体" w:cs="宋体"/>
                <w:color w:val="000000"/>
                <w:kern w:val="0"/>
                <w:szCs w:val="21"/>
              </w:rPr>
            </w:pP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3DB95B5B">
            <w:pPr>
              <w:rPr>
                <w:rFonts w:ascii="宋体" w:hAnsi="宋体" w:cs="宋体"/>
                <w:szCs w:val="21"/>
              </w:rPr>
            </w:pPr>
            <w:r>
              <w:rPr>
                <w:rFonts w:hint="eastAsia" w:ascii="宋体" w:hAnsi="宋体" w:cs="宋体"/>
                <w:szCs w:val="21"/>
              </w:rPr>
              <w:t>投标人具有</w:t>
            </w:r>
            <w:r>
              <w:rPr>
                <w:rFonts w:hint="eastAsia" w:ascii="宋体" w:hAnsi="宋体" w:cs="宋体"/>
                <w:color w:val="000000"/>
                <w:kern w:val="0"/>
                <w:szCs w:val="21"/>
              </w:rPr>
              <w:t>有效的</w:t>
            </w:r>
            <w:r>
              <w:rPr>
                <w:rFonts w:hint="eastAsia" w:ascii="宋体" w:hAnsi="宋体" w:cs="宋体"/>
                <w:szCs w:val="21"/>
              </w:rPr>
              <w:t>国家信息安全测评信息安全服务资质（安全开发类）和国家信息安全测评信息安全服务资质（安全工程类）证书的，每提供一个得3分，最高6分分。（需提供证书复印件并加盖投标人公章）</w:t>
            </w:r>
          </w:p>
        </w:tc>
        <w:tc>
          <w:tcPr>
            <w:tcW w:w="979" w:type="dxa"/>
            <w:tcBorders>
              <w:left w:val="single" w:color="auto" w:sz="4" w:space="0"/>
              <w:right w:val="single" w:color="auto" w:sz="4" w:space="0"/>
            </w:tcBorders>
            <w:shd w:val="clear" w:color="auto" w:fill="FFFFFF"/>
            <w:vAlign w:val="center"/>
          </w:tcPr>
          <w:p w14:paraId="1A522537">
            <w:pPr>
              <w:jc w:val="center"/>
              <w:rPr>
                <w:rFonts w:ascii="宋体" w:hAnsi="宋体" w:cs="宋体"/>
                <w:kern w:val="0"/>
                <w:szCs w:val="21"/>
              </w:rPr>
            </w:pPr>
            <w:r>
              <w:rPr>
                <w:rFonts w:hint="eastAsia" w:ascii="宋体" w:hAnsi="宋体" w:cs="宋体"/>
                <w:kern w:val="0"/>
                <w:szCs w:val="21"/>
              </w:rPr>
              <w:t>6</w:t>
            </w:r>
          </w:p>
        </w:tc>
      </w:tr>
      <w:tr w14:paraId="4517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465" w:type="dxa"/>
            <w:vMerge w:val="continue"/>
            <w:tcBorders>
              <w:left w:val="single" w:color="auto" w:sz="4" w:space="0"/>
              <w:right w:val="single" w:color="auto" w:sz="4" w:space="0"/>
            </w:tcBorders>
            <w:shd w:val="clear" w:color="auto" w:fill="FFFFFF"/>
            <w:vAlign w:val="center"/>
          </w:tcPr>
          <w:p w14:paraId="3DE1B0E2">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10076CFA">
            <w:pPr>
              <w:widowControl/>
              <w:jc w:val="center"/>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77167A8A">
            <w:pPr>
              <w:jc w:val="center"/>
              <w:rPr>
                <w:rFonts w:ascii="宋体" w:hAnsi="宋体" w:cs="宋体"/>
                <w:color w:val="000000"/>
                <w:kern w:val="0"/>
                <w:szCs w:val="21"/>
              </w:rPr>
            </w:pP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17074CCB">
            <w:pPr>
              <w:rPr>
                <w:rFonts w:ascii="宋体" w:hAnsi="宋体" w:cs="宋体"/>
                <w:szCs w:val="21"/>
              </w:rPr>
            </w:pPr>
            <w:r>
              <w:rPr>
                <w:rFonts w:hint="eastAsia" w:ascii="宋体" w:hAnsi="宋体" w:cs="宋体"/>
                <w:szCs w:val="21"/>
              </w:rPr>
              <w:t>投标人具有精神卫生信息管理系统相关的计算机软件著作权登记证书，</w:t>
            </w:r>
            <w:bookmarkStart w:id="1" w:name="_GoBack"/>
            <w:bookmarkEnd w:id="1"/>
            <w:r>
              <w:rPr>
                <w:rFonts w:hint="eastAsia" w:ascii="宋体" w:hAnsi="宋体" w:cs="宋体"/>
                <w:szCs w:val="21"/>
              </w:rPr>
              <w:t>提供得2分，不提供不得分。</w:t>
            </w:r>
          </w:p>
        </w:tc>
        <w:tc>
          <w:tcPr>
            <w:tcW w:w="979" w:type="dxa"/>
            <w:tcBorders>
              <w:left w:val="single" w:color="auto" w:sz="4" w:space="0"/>
              <w:right w:val="single" w:color="auto" w:sz="4" w:space="0"/>
            </w:tcBorders>
            <w:shd w:val="clear" w:color="auto" w:fill="FFFFFF"/>
            <w:vAlign w:val="center"/>
          </w:tcPr>
          <w:p w14:paraId="61C50B00">
            <w:pPr>
              <w:jc w:val="center"/>
              <w:rPr>
                <w:rFonts w:ascii="宋体" w:hAnsi="宋体" w:cs="宋体"/>
                <w:kern w:val="0"/>
                <w:szCs w:val="21"/>
              </w:rPr>
            </w:pPr>
            <w:r>
              <w:rPr>
                <w:rFonts w:hint="eastAsia" w:ascii="宋体" w:hAnsi="宋体" w:cs="宋体"/>
                <w:kern w:val="0"/>
                <w:szCs w:val="21"/>
              </w:rPr>
              <w:t>2</w:t>
            </w:r>
          </w:p>
        </w:tc>
      </w:tr>
      <w:tr w14:paraId="4516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jc w:val="center"/>
        </w:trPr>
        <w:tc>
          <w:tcPr>
            <w:tcW w:w="465" w:type="dxa"/>
            <w:vMerge w:val="restart"/>
            <w:tcBorders>
              <w:top w:val="single" w:color="auto" w:sz="4" w:space="0"/>
              <w:left w:val="single" w:color="auto" w:sz="4" w:space="0"/>
              <w:right w:val="single" w:color="auto" w:sz="4" w:space="0"/>
            </w:tcBorders>
            <w:shd w:val="clear" w:color="auto" w:fill="FFFFFF"/>
            <w:vAlign w:val="center"/>
          </w:tcPr>
          <w:p w14:paraId="1FCC1ABC">
            <w:pPr>
              <w:jc w:val="center"/>
              <w:rPr>
                <w:rFonts w:ascii="宋体" w:hAnsi="宋体" w:cs="宋体"/>
                <w:b/>
                <w:color w:val="000000"/>
                <w:kern w:val="0"/>
                <w:szCs w:val="21"/>
              </w:rPr>
            </w:pPr>
            <w:r>
              <w:rPr>
                <w:rFonts w:hint="eastAsia" w:ascii="宋体" w:hAnsi="宋体" w:cs="宋体"/>
                <w:b/>
                <w:color w:val="000000"/>
                <w:kern w:val="0"/>
                <w:szCs w:val="21"/>
              </w:rPr>
              <w:t>三</w:t>
            </w:r>
          </w:p>
        </w:tc>
        <w:tc>
          <w:tcPr>
            <w:tcW w:w="760" w:type="dxa"/>
            <w:vMerge w:val="restart"/>
            <w:tcBorders>
              <w:left w:val="single" w:color="auto" w:sz="4" w:space="0"/>
              <w:right w:val="single" w:color="auto" w:sz="4" w:space="0"/>
            </w:tcBorders>
            <w:shd w:val="clear" w:color="auto" w:fill="FFFFFF"/>
            <w:tcMar>
              <w:top w:w="0" w:type="dxa"/>
              <w:left w:w="108" w:type="dxa"/>
              <w:bottom w:w="0" w:type="dxa"/>
              <w:right w:w="108" w:type="dxa"/>
            </w:tcMar>
            <w:vAlign w:val="center"/>
          </w:tcPr>
          <w:p w14:paraId="70F3BAC5">
            <w:pPr>
              <w:widowControl/>
              <w:jc w:val="center"/>
              <w:rPr>
                <w:rFonts w:ascii="宋体" w:hAnsi="宋体" w:cs="宋体"/>
                <w:b/>
                <w:color w:val="000000"/>
                <w:kern w:val="0"/>
                <w:szCs w:val="21"/>
              </w:rPr>
            </w:pPr>
            <w:r>
              <w:rPr>
                <w:rFonts w:hint="eastAsia" w:ascii="宋体" w:hAnsi="宋体" w:cs="宋体"/>
                <w:b/>
                <w:color w:val="000000"/>
                <w:kern w:val="0"/>
                <w:szCs w:val="21"/>
              </w:rPr>
              <w:t>技术部分</w:t>
            </w:r>
          </w:p>
          <w:p w14:paraId="3F0D3203">
            <w:pPr>
              <w:jc w:val="center"/>
              <w:rPr>
                <w:rFonts w:ascii="宋体" w:hAnsi="宋体" w:cs="宋体"/>
                <w:b/>
                <w:color w:val="000000"/>
                <w:kern w:val="0"/>
                <w:szCs w:val="21"/>
              </w:rPr>
            </w:pPr>
            <w:r>
              <w:rPr>
                <w:rFonts w:hint="eastAsia" w:ascii="宋体" w:hAnsi="宋体" w:cs="宋体"/>
                <w:b/>
                <w:color w:val="000000"/>
                <w:kern w:val="0"/>
                <w:szCs w:val="21"/>
              </w:rPr>
              <w:t>（60分）</w:t>
            </w:r>
          </w:p>
        </w:tc>
        <w:tc>
          <w:tcPr>
            <w:tcW w:w="13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C3E8630">
            <w:pPr>
              <w:widowControl/>
              <w:jc w:val="center"/>
              <w:rPr>
                <w:rFonts w:ascii="宋体" w:hAnsi="宋体" w:cs="宋体"/>
                <w:color w:val="000000"/>
                <w:kern w:val="0"/>
                <w:szCs w:val="21"/>
              </w:rPr>
            </w:pPr>
            <w:r>
              <w:rPr>
                <w:rFonts w:hint="eastAsia" w:ascii="宋体" w:hAnsi="宋体" w:cs="宋体"/>
                <w:szCs w:val="21"/>
              </w:rPr>
              <w:t>项目</w:t>
            </w:r>
            <w:r>
              <w:rPr>
                <w:rFonts w:hint="eastAsia" w:ascii="宋体" w:hAnsi="宋体" w:cs="宋体"/>
                <w:szCs w:val="21"/>
                <w:lang w:eastAsia="zh-CN"/>
              </w:rPr>
              <w:t>需求分析</w:t>
            </w:r>
            <w:r>
              <w:rPr>
                <w:rFonts w:hint="eastAsia" w:ascii="宋体" w:hAnsi="宋体" w:cs="宋体"/>
                <w:szCs w:val="21"/>
              </w:rPr>
              <w:t>方案</w:t>
            </w:r>
            <w:r>
              <w:rPr>
                <w:rFonts w:hint="eastAsia" w:ascii="宋体" w:hAnsi="宋体" w:cs="宋体"/>
                <w:color w:val="000000"/>
                <w:kern w:val="0"/>
                <w:szCs w:val="21"/>
              </w:rPr>
              <w:t>（12分）</w:t>
            </w: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tcPr>
          <w:p w14:paraId="1C934972">
            <w:pPr>
              <w:rPr>
                <w:rFonts w:ascii="FangSong_GB2312" w:hAnsi="FangSong_GB2312" w:eastAsia="FangSong_GB2312" w:cs="FangSong_GB2312"/>
              </w:rPr>
            </w:pPr>
            <w:r>
              <w:rPr>
                <w:rFonts w:ascii="FangSong_GB2312" w:hAnsi="FangSong_GB2312" w:eastAsia="FangSong_GB2312" w:cs="FangSong_GB2312"/>
              </w:rPr>
              <w:t>投标人能够正确理解项目需求，合理分析现状及存在问题的理解与分析，评审委员会根据响应情况进行评审。</w:t>
            </w:r>
          </w:p>
          <w:p w14:paraId="27C20199">
            <w:pPr>
              <w:rPr>
                <w:rFonts w:ascii="FangSong_GB2312" w:hAnsi="FangSong_GB2312" w:eastAsia="FangSong_GB2312" w:cs="FangSong_GB2312"/>
              </w:rPr>
            </w:pPr>
            <w:r>
              <w:rPr>
                <w:rFonts w:ascii="FangSong_GB2312" w:hAnsi="FangSong_GB2312" w:eastAsia="FangSong_GB2312" w:cs="FangSong_GB2312"/>
              </w:rPr>
              <w:t xml:space="preserve"> ①提供方案理解深刻、分析透彻、方案极具针对性（对项目历史背景与现状掌握精准、问题诊断精准深入、需求理解前瞻务实），得</w:t>
            </w:r>
            <w:r>
              <w:rPr>
                <w:rFonts w:hint="eastAsia" w:ascii="FangSong_GB2312" w:hAnsi="FangSong_GB2312" w:eastAsia="FangSong_GB2312" w:cs="FangSong_GB2312"/>
              </w:rPr>
              <w:t>12</w:t>
            </w:r>
            <w:r>
              <w:rPr>
                <w:rFonts w:ascii="FangSong_GB2312" w:hAnsi="FangSong_GB2312" w:eastAsia="FangSong_GB2312" w:cs="FangSong_GB2312"/>
              </w:rPr>
              <w:t>分；</w:t>
            </w:r>
          </w:p>
          <w:p w14:paraId="372A9E58">
            <w:pPr>
              <w:rPr>
                <w:rFonts w:ascii="FangSong_GB2312" w:hAnsi="FangSong_GB2312" w:eastAsia="FangSong_GB2312" w:cs="FangSong_GB2312"/>
              </w:rPr>
            </w:pPr>
            <w:r>
              <w:rPr>
                <w:rFonts w:ascii="FangSong_GB2312" w:hAnsi="FangSong_GB2312" w:eastAsia="FangSong_GB2312" w:cs="FangSong_GB2312"/>
              </w:rPr>
              <w:t xml:space="preserve"> ②提供方案理解相对充分、分析较为全面（对项目现状和通用技术架构有较好的描述，但缺乏具体细节和深度；能识别出系统普遍可能存在的共性问题，但诊断不够精准，缺乏具体指向； 能够较好地理解招标文件的显性需求，但缺乏对隐性需求的挖掘和前瞻性思考），得</w:t>
            </w:r>
            <w:r>
              <w:rPr>
                <w:rFonts w:hint="eastAsia" w:ascii="FangSong_GB2312" w:hAnsi="FangSong_GB2312" w:eastAsia="FangSong_GB2312" w:cs="FangSong_GB2312"/>
              </w:rPr>
              <w:t>8</w:t>
            </w:r>
            <w:r>
              <w:rPr>
                <w:rFonts w:ascii="FangSong_GB2312" w:hAnsi="FangSong_GB2312" w:eastAsia="FangSong_GB2312" w:cs="FangSong_GB2312"/>
              </w:rPr>
              <w:t>分；</w:t>
            </w:r>
          </w:p>
          <w:p w14:paraId="16E060AF">
            <w:pPr>
              <w:rPr>
                <w:rFonts w:ascii="FangSong_GB2312" w:hAnsi="FangSong_GB2312" w:eastAsia="FangSong_GB2312" w:cs="FangSong_GB2312"/>
              </w:rPr>
            </w:pPr>
            <w:r>
              <w:rPr>
                <w:rFonts w:ascii="FangSong_GB2312" w:hAnsi="FangSong_GB2312" w:eastAsia="FangSong_GB2312" w:cs="FangSong_GB2312"/>
              </w:rPr>
              <w:t xml:space="preserve"> ③提供方案理解不太充分、分析较为片面（对项目现状的描述流于表面，或存在明显错误；对问题的分析停留在概念层面，空洞泛泛而谈；对需求的理解存在偏差或遗漏），得4分；</w:t>
            </w:r>
          </w:p>
          <w:p w14:paraId="52AE4AA0">
            <w:pPr>
              <w:rPr>
                <w:rFonts w:hint="eastAsia" w:ascii="宋体" w:hAnsi="宋体" w:cs="宋体"/>
                <w:kern w:val="0"/>
                <w:szCs w:val="21"/>
              </w:rPr>
            </w:pPr>
            <w:r>
              <w:rPr>
                <w:rFonts w:ascii="FangSong_GB2312" w:hAnsi="FangSong_GB2312" w:eastAsia="FangSong_GB2312" w:cs="FangSong_GB2312"/>
              </w:rPr>
              <w:t xml:space="preserve"> ④提供方案理解存在重大偏差或基本没有理解（对项目现状描述错误百出；未能有效分析存在问题），得0分。</w:t>
            </w:r>
          </w:p>
        </w:tc>
        <w:tc>
          <w:tcPr>
            <w:tcW w:w="979" w:type="dxa"/>
            <w:tcBorders>
              <w:top w:val="single" w:color="auto" w:sz="4" w:space="0"/>
              <w:left w:val="single" w:color="auto" w:sz="4" w:space="0"/>
              <w:right w:val="single" w:color="auto" w:sz="4" w:space="0"/>
            </w:tcBorders>
            <w:shd w:val="clear" w:color="auto" w:fill="FFFFFF"/>
            <w:vAlign w:val="center"/>
          </w:tcPr>
          <w:p w14:paraId="5682A78F">
            <w:pPr>
              <w:jc w:val="center"/>
              <w:rPr>
                <w:rFonts w:hint="eastAsia" w:ascii="宋体" w:hAnsi="宋体" w:cs="宋体"/>
                <w:color w:val="000000"/>
                <w:kern w:val="0"/>
                <w:szCs w:val="21"/>
              </w:rPr>
            </w:pPr>
            <w:r>
              <w:rPr>
                <w:rFonts w:hint="eastAsia" w:ascii="宋体" w:hAnsi="宋体" w:cs="宋体"/>
                <w:color w:val="000000"/>
                <w:kern w:val="0"/>
                <w:szCs w:val="21"/>
              </w:rPr>
              <w:t>12</w:t>
            </w:r>
          </w:p>
        </w:tc>
      </w:tr>
      <w:tr w14:paraId="3168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465" w:type="dxa"/>
            <w:vMerge w:val="continue"/>
            <w:tcBorders>
              <w:left w:val="single" w:color="auto" w:sz="4" w:space="0"/>
              <w:right w:val="single" w:color="auto" w:sz="4" w:space="0"/>
            </w:tcBorders>
            <w:shd w:val="clear" w:color="auto" w:fill="FFFFFF"/>
            <w:vAlign w:val="center"/>
          </w:tcPr>
          <w:p w14:paraId="120F9028">
            <w:pPr>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032E9EAA">
            <w:pPr>
              <w:widowControl/>
              <w:jc w:val="center"/>
              <w:rPr>
                <w:rFonts w:ascii="宋体" w:hAnsi="宋体" w:cs="宋体"/>
                <w:b/>
                <w:color w:val="000000"/>
                <w:kern w:val="0"/>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ACF9BE3">
            <w:pPr>
              <w:rPr>
                <w:rFonts w:ascii="宋体" w:hAnsi="宋体" w:cs="宋体"/>
                <w:szCs w:val="21"/>
              </w:rPr>
            </w:pPr>
            <w:r>
              <w:rPr>
                <w:rFonts w:hint="eastAsia" w:ascii="宋体" w:hAnsi="宋体" w:cs="宋体"/>
                <w:szCs w:val="21"/>
              </w:rPr>
              <w:t>项目运维服务方案（8分）</w:t>
            </w:r>
          </w:p>
        </w:tc>
        <w:tc>
          <w:tcPr>
            <w:tcW w:w="5035"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05BD9707">
            <w:pPr>
              <w:rPr>
                <w:rFonts w:ascii="宋体" w:hAnsi="宋体" w:cs="宋体"/>
                <w:szCs w:val="21"/>
              </w:rPr>
            </w:pPr>
            <w:r>
              <w:rPr>
                <w:rFonts w:hint="eastAsia" w:ascii="宋体" w:hAnsi="宋体" w:cs="宋体"/>
                <w:szCs w:val="21"/>
              </w:rPr>
              <w:t>投标人</w:t>
            </w:r>
            <w:r>
              <w:rPr>
                <w:rFonts w:ascii="宋体" w:hAnsi="宋体" w:cs="宋体"/>
                <w:szCs w:val="21"/>
              </w:rPr>
              <w:t>对“海南</w:t>
            </w:r>
            <w:r>
              <w:rPr>
                <w:rFonts w:hint="eastAsia" w:ascii="宋体" w:hAnsi="宋体" w:cs="宋体"/>
                <w:szCs w:val="21"/>
              </w:rPr>
              <w:t>省</w:t>
            </w:r>
            <w:r>
              <w:rPr>
                <w:rFonts w:ascii="宋体" w:hAnsi="宋体" w:cs="宋体"/>
                <w:szCs w:val="21"/>
              </w:rPr>
              <w:t>精神卫生管理系统”平台应用软件的运维服务方案进行综合评审。</w:t>
            </w:r>
          </w:p>
          <w:p w14:paraId="6B87EFF7">
            <w:pPr>
              <w:pStyle w:val="7"/>
            </w:pPr>
            <w:r>
              <w:t>方案完整覆盖所有用户与功能，且关键业务运维措施具体可行</w:t>
            </w:r>
            <w:r>
              <w:rPr>
                <w:rFonts w:hint="eastAsia"/>
              </w:rPr>
              <w:t>，计8分</w:t>
            </w:r>
            <w:r>
              <w:t>。</w:t>
            </w:r>
          </w:p>
          <w:p w14:paraId="14FA28B6">
            <w:pPr>
              <w:pStyle w:val="7"/>
            </w:pPr>
            <w:r>
              <w:t>方案覆盖主要用户与功能，但部分内容描述笼统，缺乏细节</w:t>
            </w:r>
            <w:r>
              <w:rPr>
                <w:rFonts w:hint="eastAsia"/>
              </w:rPr>
              <w:t>，计6分</w:t>
            </w:r>
            <w:r>
              <w:t>。</w:t>
            </w:r>
          </w:p>
          <w:p w14:paraId="080CB6CE">
            <w:pPr>
              <w:pStyle w:val="7"/>
            </w:pPr>
            <w:r>
              <w:t>方案内容粗略，仅涉及少数核心功能，缺乏可操作性</w:t>
            </w:r>
            <w:r>
              <w:rPr>
                <w:rFonts w:hint="eastAsia"/>
              </w:rPr>
              <w:t>，计2分</w:t>
            </w:r>
            <w:r>
              <w:t>。</w:t>
            </w:r>
          </w:p>
          <w:p w14:paraId="3348BAF9">
            <w:pPr>
              <w:pStyle w:val="7"/>
            </w:pPr>
            <w:r>
              <w:t>未提供方案，或方案与项目需求严重不符</w:t>
            </w:r>
            <w:r>
              <w:rPr>
                <w:rFonts w:hint="eastAsia"/>
              </w:rPr>
              <w:t>，不计分</w:t>
            </w:r>
            <w:r>
              <w:t>。</w:t>
            </w:r>
          </w:p>
        </w:tc>
        <w:tc>
          <w:tcPr>
            <w:tcW w:w="979" w:type="dxa"/>
            <w:tcBorders>
              <w:top w:val="single" w:color="auto" w:sz="4" w:space="0"/>
              <w:left w:val="single" w:color="auto" w:sz="4" w:space="0"/>
              <w:right w:val="single" w:color="auto" w:sz="4" w:space="0"/>
            </w:tcBorders>
            <w:shd w:val="clear" w:color="auto" w:fill="FFFFFF"/>
            <w:vAlign w:val="center"/>
          </w:tcPr>
          <w:p w14:paraId="4B72D87D">
            <w:pPr>
              <w:jc w:val="center"/>
              <w:rPr>
                <w:rFonts w:ascii="宋体" w:hAnsi="宋体" w:cs="宋体"/>
                <w:color w:val="000000"/>
                <w:kern w:val="0"/>
                <w:szCs w:val="21"/>
              </w:rPr>
            </w:pPr>
            <w:r>
              <w:rPr>
                <w:rFonts w:hint="eastAsia" w:ascii="宋体" w:hAnsi="宋体" w:cs="宋体"/>
                <w:color w:val="000000"/>
                <w:kern w:val="0"/>
                <w:szCs w:val="21"/>
              </w:rPr>
              <w:t>8</w:t>
            </w:r>
          </w:p>
        </w:tc>
      </w:tr>
      <w:tr w14:paraId="595B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5" w:type="dxa"/>
            <w:vMerge w:val="continue"/>
            <w:tcBorders>
              <w:left w:val="single" w:color="auto" w:sz="4" w:space="0"/>
              <w:right w:val="single" w:color="auto" w:sz="4" w:space="0"/>
            </w:tcBorders>
            <w:shd w:val="clear" w:color="auto" w:fill="FFFFFF"/>
            <w:vAlign w:val="center"/>
          </w:tcPr>
          <w:p w14:paraId="0C0D8865">
            <w:pPr>
              <w:widowControl/>
              <w:jc w:val="left"/>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vAlign w:val="center"/>
          </w:tcPr>
          <w:p w14:paraId="0FB254F1">
            <w:pPr>
              <w:widowControl/>
              <w:jc w:val="left"/>
              <w:rPr>
                <w:rFonts w:ascii="宋体" w:hAnsi="宋体" w:cs="宋体"/>
                <w:b/>
                <w:color w:val="000000"/>
                <w:kern w:val="0"/>
                <w:szCs w:val="21"/>
              </w:rPr>
            </w:pPr>
          </w:p>
        </w:tc>
        <w:tc>
          <w:tcPr>
            <w:tcW w:w="1344"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vAlign w:val="center"/>
          </w:tcPr>
          <w:p w14:paraId="249897EF">
            <w:pPr>
              <w:pStyle w:val="8"/>
              <w:widowControl/>
              <w:jc w:val="center"/>
              <w:rPr>
                <w:rFonts w:ascii="宋体" w:hAnsi="宋体" w:cs="宋体"/>
                <w:sz w:val="21"/>
                <w:szCs w:val="21"/>
              </w:rPr>
            </w:pPr>
            <w:r>
              <w:rPr>
                <w:rFonts w:hint="eastAsia" w:ascii="宋体" w:hAnsi="宋体" w:eastAsia="宋体" w:cs="宋体"/>
                <w:bCs/>
                <w:color w:val="auto"/>
                <w:kern w:val="2"/>
                <w:sz w:val="21"/>
                <w:szCs w:val="21"/>
              </w:rPr>
              <w:t>运维保障方案（18分）</w:t>
            </w: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6C27F939">
            <w:pPr>
              <w:rPr>
                <w:rFonts w:ascii="宋体" w:hAnsi="宋体" w:cs="宋体"/>
                <w:szCs w:val="21"/>
              </w:rPr>
            </w:pPr>
            <w:r>
              <w:rPr>
                <w:rFonts w:ascii="宋体" w:hAnsi="宋体" w:cs="宋体"/>
                <w:szCs w:val="21"/>
              </w:rPr>
              <w:t>根据供应商针对本项目服务内容提供的运维保障方案进行评审，内容应包括</w:t>
            </w:r>
            <w:r>
              <w:rPr>
                <w:rFonts w:hint="eastAsia" w:ascii="宋体" w:hAnsi="宋体" w:cs="宋体"/>
                <w:szCs w:val="21"/>
              </w:rPr>
              <w:t>：</w:t>
            </w:r>
          </w:p>
          <w:p w14:paraId="596DE26B">
            <w:pPr>
              <w:rPr>
                <w:rFonts w:ascii="宋体" w:hAnsi="宋体" w:cs="宋体"/>
                <w:szCs w:val="21"/>
              </w:rPr>
            </w:pPr>
            <w:r>
              <w:rPr>
                <w:rFonts w:ascii="宋体" w:hAnsi="宋体" w:cs="宋体"/>
                <w:szCs w:val="21"/>
              </w:rPr>
              <w:t>1.日常运维执行方案；</w:t>
            </w:r>
          </w:p>
          <w:p w14:paraId="0DF964B4">
            <w:pPr>
              <w:rPr>
                <w:rFonts w:ascii="宋体" w:hAnsi="宋体" w:cs="宋体"/>
                <w:szCs w:val="21"/>
              </w:rPr>
            </w:pPr>
            <w:r>
              <w:rPr>
                <w:rFonts w:ascii="宋体" w:hAnsi="宋体" w:cs="宋体"/>
                <w:szCs w:val="21"/>
              </w:rPr>
              <w:t>2.运维管理流程；</w:t>
            </w:r>
          </w:p>
          <w:p w14:paraId="64E33009">
            <w:pPr>
              <w:rPr>
                <w:rFonts w:ascii="宋体" w:hAnsi="宋体" w:cs="宋体"/>
                <w:szCs w:val="21"/>
              </w:rPr>
            </w:pPr>
            <w:r>
              <w:rPr>
                <w:rFonts w:ascii="宋体" w:hAnsi="宋体" w:cs="宋体"/>
                <w:szCs w:val="21"/>
              </w:rPr>
              <w:t>3.安全保障方案；</w:t>
            </w:r>
          </w:p>
          <w:p w14:paraId="3F2A86D3">
            <w:pPr>
              <w:rPr>
                <w:rFonts w:ascii="宋体" w:hAnsi="宋体" w:cs="宋体"/>
                <w:szCs w:val="21"/>
              </w:rPr>
            </w:pPr>
            <w:r>
              <w:rPr>
                <w:rFonts w:ascii="宋体" w:hAnsi="宋体" w:cs="宋体"/>
                <w:szCs w:val="21"/>
              </w:rPr>
              <w:t>4.突发故障应急处置流程；</w:t>
            </w:r>
          </w:p>
          <w:p w14:paraId="13543D96">
            <w:pPr>
              <w:rPr>
                <w:rFonts w:ascii="宋体" w:hAnsi="宋体" w:cs="宋体"/>
                <w:szCs w:val="21"/>
              </w:rPr>
            </w:pPr>
            <w:r>
              <w:rPr>
                <w:rFonts w:ascii="宋体" w:hAnsi="宋体" w:cs="宋体"/>
                <w:szCs w:val="21"/>
              </w:rPr>
              <w:t>5.运维文档管理方案；</w:t>
            </w:r>
          </w:p>
          <w:p w14:paraId="0DF4FEC1">
            <w:pPr>
              <w:rPr>
                <w:rFonts w:ascii="宋体" w:hAnsi="宋体" w:cs="宋体"/>
                <w:szCs w:val="21"/>
              </w:rPr>
            </w:pPr>
            <w:r>
              <w:rPr>
                <w:rFonts w:ascii="宋体" w:hAnsi="宋体" w:cs="宋体"/>
                <w:szCs w:val="21"/>
              </w:rPr>
              <w:t>6.特殊时期强化保障方案</w:t>
            </w:r>
            <w:r>
              <w:rPr>
                <w:rFonts w:hint="eastAsia" w:ascii="宋体" w:hAnsi="宋体" w:cs="宋体"/>
                <w:szCs w:val="21"/>
              </w:rPr>
              <w:t>。</w:t>
            </w:r>
          </w:p>
          <w:p w14:paraId="0E4C1C50">
            <w:pPr>
              <w:rPr>
                <w:rFonts w:ascii="宋体" w:hAnsi="宋体" w:cs="宋体"/>
                <w:szCs w:val="21"/>
              </w:rPr>
            </w:pPr>
            <w:r>
              <w:rPr>
                <w:rFonts w:ascii="宋体" w:hAnsi="宋体" w:cs="宋体"/>
                <w:szCs w:val="21"/>
              </w:rPr>
              <w:t>以上方案内容完整提供的得</w:t>
            </w:r>
            <w:r>
              <w:rPr>
                <w:rFonts w:hint="eastAsia" w:ascii="宋体" w:hAnsi="宋体" w:cs="宋体"/>
                <w:szCs w:val="21"/>
                <w:lang w:val="en-US" w:eastAsia="zh-CN"/>
              </w:rPr>
              <w:t>18</w:t>
            </w:r>
            <w:r>
              <w:rPr>
                <w:rFonts w:ascii="宋体" w:hAnsi="宋体" w:cs="宋体"/>
                <w:szCs w:val="21"/>
              </w:rPr>
              <w:t>分，每缺少一项（以“1.”“2.”“3.”……为项数）扣</w:t>
            </w:r>
            <w:r>
              <w:rPr>
                <w:rFonts w:hint="eastAsia" w:ascii="宋体" w:hAnsi="宋体" w:cs="宋体"/>
                <w:szCs w:val="21"/>
              </w:rPr>
              <w:t>3</w:t>
            </w:r>
            <w:r>
              <w:rPr>
                <w:rFonts w:ascii="宋体" w:hAnsi="宋体" w:cs="宋体"/>
                <w:szCs w:val="21"/>
              </w:rPr>
              <w:t>分，方案内容中每有一处缺陷扣2分，单项内容扣减分值不超过</w:t>
            </w:r>
            <w:r>
              <w:rPr>
                <w:rFonts w:hint="eastAsia" w:ascii="宋体" w:hAnsi="宋体" w:cs="宋体"/>
                <w:szCs w:val="21"/>
              </w:rPr>
              <w:t>3</w:t>
            </w:r>
            <w:r>
              <w:rPr>
                <w:rFonts w:ascii="宋体" w:hAnsi="宋体" w:cs="宋体"/>
                <w:szCs w:val="21"/>
              </w:rPr>
              <w:t>分。 注：缺陷是指存在项目名称错误、地点区域错误、内容与本项目需求无关、方案内容矛盾、仅有框架或标题、引用或适用的法律法规、标准（方法）或其他规范性文件失效或错误、复制其他项目内容等任意一种情形。</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B23F3A4">
            <w:pPr>
              <w:widowControl/>
              <w:jc w:val="center"/>
              <w:rPr>
                <w:rFonts w:hint="eastAsia" w:ascii="宋体" w:hAnsi="宋体" w:cs="宋体"/>
                <w:color w:val="000000"/>
                <w:kern w:val="0"/>
                <w:szCs w:val="21"/>
              </w:rPr>
            </w:pPr>
            <w:r>
              <w:rPr>
                <w:rFonts w:hint="eastAsia" w:ascii="宋体" w:hAnsi="宋体" w:cs="宋体"/>
                <w:color w:val="000000"/>
                <w:kern w:val="0"/>
                <w:szCs w:val="21"/>
              </w:rPr>
              <w:t>18</w:t>
            </w:r>
          </w:p>
        </w:tc>
      </w:tr>
      <w:tr w14:paraId="1BDD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465" w:type="dxa"/>
            <w:vMerge w:val="continue"/>
            <w:tcBorders>
              <w:left w:val="single" w:color="auto" w:sz="4" w:space="0"/>
              <w:right w:val="single" w:color="auto" w:sz="4" w:space="0"/>
            </w:tcBorders>
            <w:shd w:val="clear" w:color="auto" w:fill="FFFFFF"/>
            <w:vAlign w:val="center"/>
          </w:tcPr>
          <w:p w14:paraId="7A8C3C88">
            <w:pPr>
              <w:widowControl/>
              <w:jc w:val="left"/>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vAlign w:val="center"/>
          </w:tcPr>
          <w:p w14:paraId="0741DB89">
            <w:pPr>
              <w:widowControl/>
              <w:jc w:val="left"/>
              <w:rPr>
                <w:rFonts w:ascii="宋体" w:hAnsi="宋体" w:cs="宋体"/>
                <w:b/>
                <w:color w:val="000000"/>
                <w:kern w:val="0"/>
                <w:szCs w:val="21"/>
              </w:rPr>
            </w:pPr>
          </w:p>
        </w:tc>
        <w:tc>
          <w:tcPr>
            <w:tcW w:w="1344" w:type="dxa"/>
            <w:vMerge w:val="restart"/>
            <w:tcBorders>
              <w:left w:val="single" w:color="auto" w:sz="4" w:space="0"/>
              <w:right w:val="single" w:color="auto" w:sz="4" w:space="0"/>
            </w:tcBorders>
            <w:shd w:val="clear" w:color="auto" w:fill="FFFFFF"/>
            <w:tcMar>
              <w:top w:w="0" w:type="dxa"/>
              <w:left w:w="108" w:type="dxa"/>
              <w:bottom w:w="0" w:type="dxa"/>
              <w:right w:w="108" w:type="dxa"/>
            </w:tcMar>
            <w:vAlign w:val="center"/>
          </w:tcPr>
          <w:p w14:paraId="7BDCD28F">
            <w:pPr>
              <w:pStyle w:val="8"/>
              <w:jc w:val="center"/>
              <w:rPr>
                <w:rFonts w:ascii="宋体" w:hAnsi="宋体" w:cs="宋体"/>
                <w:bCs/>
                <w:color w:val="auto"/>
                <w:kern w:val="2"/>
                <w:sz w:val="21"/>
                <w:szCs w:val="21"/>
              </w:rPr>
            </w:pPr>
            <w:r>
              <w:rPr>
                <w:rFonts w:hint="eastAsia" w:ascii="宋体" w:hAnsi="宋体" w:eastAsia="宋体" w:cs="宋体"/>
                <w:bCs/>
                <w:color w:val="auto"/>
                <w:kern w:val="2"/>
                <w:sz w:val="21"/>
                <w:szCs w:val="21"/>
              </w:rPr>
              <w:t>项目团队（16分）</w:t>
            </w: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2F28ED8">
            <w:pPr>
              <w:rPr>
                <w:rFonts w:ascii="宋体" w:hAnsi="宋体" w:cs="宋体"/>
                <w:szCs w:val="21"/>
              </w:rPr>
            </w:pPr>
            <w:r>
              <w:rPr>
                <w:rFonts w:hint="eastAsia" w:ascii="宋体" w:hAnsi="宋体" w:cs="宋体"/>
                <w:szCs w:val="21"/>
              </w:rPr>
              <w:t>项目经理具有信息系统项目管理师（高级）资格证书，提供得2分，不提供不得分。</w:t>
            </w:r>
          </w:p>
          <w:p w14:paraId="6351814F">
            <w:pPr>
              <w:rPr>
                <w:rFonts w:ascii="宋体" w:hAnsi="宋体" w:cs="宋体"/>
                <w:szCs w:val="21"/>
              </w:rPr>
            </w:pPr>
            <w:r>
              <w:rPr>
                <w:rFonts w:hint="eastAsia" w:ascii="宋体" w:hAnsi="宋体" w:cs="宋体"/>
                <w:szCs w:val="21"/>
              </w:rPr>
              <w:t>项目经理具有类似信息化项目经验的，每提供一个得2分，最多得4分。</w:t>
            </w:r>
          </w:p>
          <w:p w14:paraId="0DF3531C">
            <w:pPr>
              <w:rPr>
                <w:rFonts w:ascii="宋体" w:hAnsi="宋体" w:cs="宋体"/>
                <w:szCs w:val="21"/>
              </w:rPr>
            </w:pPr>
            <w:r>
              <w:rPr>
                <w:rFonts w:hint="eastAsia" w:ascii="宋体" w:hAnsi="宋体" w:cs="宋体"/>
                <w:szCs w:val="21"/>
              </w:rPr>
              <w:t>（需提供项目经理的资格证书复印件、项目经理</w:t>
            </w:r>
            <w:r>
              <w:rPr>
                <w:rFonts w:ascii="FangSong_GB2312" w:hAnsi="FangSong_GB2312" w:eastAsia="FangSong_GB2312" w:cs="FangSong_GB2312"/>
              </w:rPr>
              <w:t>在投标单位</w:t>
            </w:r>
            <w:r>
              <w:rPr>
                <w:rFonts w:hint="eastAsia" w:ascii="宋体" w:hAnsi="宋体" w:cs="宋体"/>
                <w:szCs w:val="21"/>
              </w:rPr>
              <w:t>近3个月的缴纳社保证明复印件、担任项目经理的用户证明材料复印件。以上均需加盖投标人公章）。</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26B8F87">
            <w:pPr>
              <w:widowControl/>
              <w:jc w:val="center"/>
              <w:rPr>
                <w:rFonts w:ascii="宋体" w:hAnsi="宋体" w:cs="宋体"/>
                <w:color w:val="000000"/>
                <w:kern w:val="0"/>
                <w:szCs w:val="21"/>
              </w:rPr>
            </w:pPr>
            <w:r>
              <w:rPr>
                <w:rFonts w:hint="eastAsia" w:ascii="宋体" w:hAnsi="宋体" w:cs="宋体"/>
                <w:color w:val="000000"/>
                <w:kern w:val="0"/>
                <w:szCs w:val="21"/>
              </w:rPr>
              <w:t>6</w:t>
            </w:r>
          </w:p>
        </w:tc>
      </w:tr>
      <w:tr w14:paraId="5E1B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465" w:type="dxa"/>
            <w:vMerge w:val="continue"/>
            <w:tcBorders>
              <w:left w:val="single" w:color="auto" w:sz="4" w:space="0"/>
              <w:right w:val="single" w:color="auto" w:sz="4" w:space="0"/>
            </w:tcBorders>
            <w:shd w:val="clear" w:color="auto" w:fill="FFFFFF"/>
            <w:vAlign w:val="center"/>
          </w:tcPr>
          <w:p w14:paraId="79A18970">
            <w:pPr>
              <w:widowControl/>
              <w:jc w:val="left"/>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vAlign w:val="center"/>
          </w:tcPr>
          <w:p w14:paraId="26359FC6">
            <w:pPr>
              <w:widowControl/>
              <w:jc w:val="left"/>
              <w:rPr>
                <w:rFonts w:ascii="宋体" w:hAnsi="宋体" w:cs="宋体"/>
                <w:b/>
                <w:color w:val="000000"/>
                <w:kern w:val="0"/>
                <w:szCs w:val="21"/>
              </w:rPr>
            </w:pPr>
          </w:p>
        </w:tc>
        <w:tc>
          <w:tcPr>
            <w:tcW w:w="1344" w:type="dxa"/>
            <w:vMerge w:val="continue"/>
            <w:tcBorders>
              <w:left w:val="single" w:color="auto" w:sz="4" w:space="0"/>
              <w:right w:val="single" w:color="auto" w:sz="4" w:space="0"/>
            </w:tcBorders>
            <w:shd w:val="clear" w:color="auto" w:fill="FFFFFF"/>
            <w:tcMar>
              <w:top w:w="0" w:type="dxa"/>
              <w:left w:w="108" w:type="dxa"/>
              <w:bottom w:w="0" w:type="dxa"/>
              <w:right w:w="108" w:type="dxa"/>
            </w:tcMar>
            <w:vAlign w:val="center"/>
          </w:tcPr>
          <w:p w14:paraId="6FCBFC1E">
            <w:pPr>
              <w:pStyle w:val="8"/>
              <w:jc w:val="center"/>
              <w:rPr>
                <w:rFonts w:ascii="宋体" w:hAnsi="宋体" w:cs="宋体"/>
                <w:bCs/>
                <w:color w:val="auto"/>
                <w:kern w:val="2"/>
                <w:sz w:val="21"/>
                <w:szCs w:val="21"/>
              </w:rPr>
            </w:pP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3E795377">
            <w:pPr>
              <w:pStyle w:val="7"/>
              <w:numPr>
                <w:ilvl w:val="0"/>
                <w:numId w:val="0"/>
              </w:numPr>
              <w:rPr>
                <w:rFonts w:ascii="宋体" w:hAnsi="宋体" w:cs="宋体"/>
                <w:szCs w:val="21"/>
              </w:rPr>
            </w:pPr>
            <w:r>
              <w:rPr>
                <w:rFonts w:ascii="FangSong_GB2312" w:hAnsi="FangSong_GB2312" w:eastAsia="FangSong_GB2312" w:cs="FangSong_GB2312"/>
              </w:rPr>
              <w:t>供应商拟投入本项目的技术服务团队具有系统集成项目管理工程师、系统架构设计师、信创集成项目管理师、数据库系统工程师、注册信息安全专业人员证书、软件设计师、项目DCMM数据管理师之一的，每提供1个上述证书得2分，同一人持多个证书不重复计分，满分1</w:t>
            </w:r>
            <w:r>
              <w:rPr>
                <w:rFonts w:hint="eastAsia" w:ascii="FangSong_GB2312" w:hAnsi="FangSong_GB2312" w:eastAsia="FangSong_GB2312" w:cs="FangSong_GB2312"/>
              </w:rPr>
              <w:t>0</w:t>
            </w:r>
            <w:r>
              <w:rPr>
                <w:rFonts w:ascii="FangSong_GB2312" w:hAnsi="FangSong_GB2312" w:eastAsia="FangSong_GB2312" w:cs="FangSong_GB2312"/>
              </w:rPr>
              <w:t>分。（须提供相应证书及在投标单位</w:t>
            </w:r>
            <w:r>
              <w:rPr>
                <w:rFonts w:hint="eastAsia" w:ascii="FangSong_GB2312" w:hAnsi="FangSong_GB2312" w:eastAsia="FangSong_GB2312" w:cs="FangSong_GB2312"/>
              </w:rPr>
              <w:t>近</w:t>
            </w:r>
            <w:r>
              <w:rPr>
                <w:rFonts w:ascii="FangSong_GB2312" w:hAnsi="FangSong_GB2312" w:eastAsia="FangSong_GB2312" w:cs="FangSong_GB2312"/>
              </w:rPr>
              <w:t>3个月的社保证明，扫描件并加盖公章，同一人持多个证书不重复计分）</w:t>
            </w:r>
          </w:p>
          <w:p w14:paraId="50A52A1D">
            <w:pPr>
              <w:pStyle w:val="2"/>
              <w:ind w:leftChars="-7" w:hanging="14" w:hangingChars="7"/>
              <w:rPr>
                <w:rFonts w:ascii="宋体" w:hAnsi="宋体" w:cs="宋体"/>
                <w:szCs w:val="21"/>
              </w:rPr>
            </w:pP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F700A8F">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322E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465" w:type="dxa"/>
            <w:vMerge w:val="continue"/>
            <w:tcBorders>
              <w:left w:val="single" w:color="auto" w:sz="4" w:space="0"/>
              <w:right w:val="single" w:color="auto" w:sz="4" w:space="0"/>
            </w:tcBorders>
            <w:shd w:val="clear" w:color="auto" w:fill="FFFFFF"/>
            <w:vAlign w:val="center"/>
          </w:tcPr>
          <w:p w14:paraId="19661822">
            <w:pPr>
              <w:widowControl/>
              <w:jc w:val="center"/>
              <w:rPr>
                <w:rFonts w:ascii="宋体" w:hAnsi="宋体" w:cs="宋体"/>
                <w:b/>
                <w:color w:val="000000"/>
                <w:kern w:val="0"/>
                <w:szCs w:val="21"/>
              </w:rPr>
            </w:pPr>
          </w:p>
        </w:tc>
        <w:tc>
          <w:tcPr>
            <w:tcW w:w="760" w:type="dxa"/>
            <w:vMerge w:val="continue"/>
            <w:tcBorders>
              <w:left w:val="single" w:color="auto" w:sz="4" w:space="0"/>
              <w:right w:val="single" w:color="auto" w:sz="4" w:space="0"/>
            </w:tcBorders>
            <w:shd w:val="clear" w:color="auto" w:fill="FFFFFF"/>
            <w:vAlign w:val="center"/>
          </w:tcPr>
          <w:p w14:paraId="0141904C">
            <w:pPr>
              <w:widowControl/>
              <w:jc w:val="left"/>
              <w:rPr>
                <w:rFonts w:ascii="宋体" w:hAnsi="宋体" w:cs="宋体"/>
                <w:b/>
                <w:color w:val="000000"/>
                <w:kern w:val="0"/>
                <w:szCs w:val="21"/>
              </w:rPr>
            </w:pPr>
          </w:p>
        </w:tc>
        <w:tc>
          <w:tcPr>
            <w:tcW w:w="13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F1105B6">
            <w:pPr>
              <w:widowControl/>
              <w:jc w:val="center"/>
              <w:rPr>
                <w:rFonts w:ascii="宋体" w:hAnsi="宋体" w:cs="宋体"/>
                <w:bCs/>
                <w:szCs w:val="21"/>
              </w:rPr>
            </w:pPr>
            <w:r>
              <w:rPr>
                <w:rFonts w:hint="eastAsia" w:ascii="宋体" w:hAnsi="宋体" w:cs="宋体"/>
                <w:bCs/>
                <w:szCs w:val="21"/>
              </w:rPr>
              <w:t>质保期</w:t>
            </w:r>
            <w:r>
              <w:rPr>
                <w:rFonts w:hint="eastAsia" w:ascii="宋体" w:hAnsi="宋体" w:cs="宋体"/>
                <w:bCs/>
                <w:szCs w:val="21"/>
                <w:lang w:eastAsia="zh-CN"/>
              </w:rPr>
              <w:t>内</w:t>
            </w:r>
            <w:r>
              <w:rPr>
                <w:rFonts w:hint="eastAsia" w:ascii="宋体" w:hAnsi="宋体" w:cs="宋体"/>
                <w:bCs/>
                <w:szCs w:val="21"/>
              </w:rPr>
              <w:t>驻场服务（6分）</w:t>
            </w:r>
          </w:p>
        </w:tc>
        <w:tc>
          <w:tcPr>
            <w:tcW w:w="50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6F923DF">
            <w:pPr>
              <w:rPr>
                <w:rFonts w:ascii="宋体" w:hAnsi="宋体" w:cs="宋体"/>
                <w:szCs w:val="21"/>
              </w:rPr>
            </w:pPr>
            <w:r>
              <w:rPr>
                <w:rFonts w:hint="eastAsia" w:ascii="宋体" w:hAnsi="宋体" w:cs="宋体"/>
                <w:szCs w:val="21"/>
              </w:rPr>
              <w:t>质保期内驻场人员人数在2人（含）以上的，得2分；</w:t>
            </w:r>
          </w:p>
          <w:p w14:paraId="74C386A0">
            <w:pPr>
              <w:rPr>
                <w:rFonts w:ascii="宋体" w:hAnsi="宋体" w:cs="宋体"/>
                <w:szCs w:val="21"/>
              </w:rPr>
            </w:pPr>
            <w:r>
              <w:rPr>
                <w:rFonts w:hint="eastAsia" w:ascii="宋体" w:hAnsi="宋体" w:cs="宋体"/>
                <w:szCs w:val="21"/>
              </w:rPr>
              <w:t>质保期内驻场人员中具备软件设计师、软件测试工程师、系统集成项目管理师等中级及以上职称的（一人具备多个证书的，仅取一个类别的证书计算），每提供1个，得2分，最高4分。</w:t>
            </w:r>
          </w:p>
          <w:p w14:paraId="16AF6C6C">
            <w:pPr>
              <w:rPr>
                <w:rFonts w:ascii="宋体" w:hAnsi="宋体" w:cs="宋体"/>
                <w:szCs w:val="21"/>
              </w:rPr>
            </w:pPr>
            <w:r>
              <w:rPr>
                <w:rFonts w:hint="eastAsia" w:ascii="宋体" w:hAnsi="宋体" w:cs="宋体"/>
                <w:szCs w:val="21"/>
              </w:rPr>
              <w:t>（需提供驻场人员资格证书复印件、近3个月内任意1个月的公司缴纳社保记录复印件。以上均需加盖投标人公章）</w:t>
            </w:r>
          </w:p>
        </w:tc>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34F428B">
            <w:pPr>
              <w:widowControl/>
              <w:jc w:val="center"/>
              <w:rPr>
                <w:rFonts w:ascii="宋体" w:hAnsi="宋体" w:cs="宋体"/>
                <w:color w:val="000000"/>
                <w:kern w:val="0"/>
                <w:szCs w:val="21"/>
              </w:rPr>
            </w:pPr>
            <w:r>
              <w:rPr>
                <w:rFonts w:hint="eastAsia" w:ascii="宋体" w:hAnsi="宋体" w:cs="宋体"/>
                <w:color w:val="000000"/>
                <w:kern w:val="0"/>
                <w:szCs w:val="21"/>
              </w:rPr>
              <w:t>6</w:t>
            </w:r>
          </w:p>
        </w:tc>
      </w:tr>
    </w:tbl>
    <w:p w14:paraId="08940720"/>
    <w:p w14:paraId="5A6D7B99"/>
    <w:p w14:paraId="22F9652D">
      <w:pPr>
        <w:rPr>
          <w:rFonts w:hint="eastAsia"/>
          <w:b/>
          <w:bCs/>
          <w:sz w:val="28"/>
          <w:szCs w:val="36"/>
          <w:lang w:val="en-US" w:eastAsia="zh-CN"/>
        </w:rPr>
      </w:pPr>
      <w:r>
        <w:rPr>
          <w:rFonts w:hint="eastAsia"/>
          <w:b/>
          <w:bCs/>
          <w:sz w:val="28"/>
          <w:szCs w:val="36"/>
          <w:lang w:val="en-US" w:eastAsia="zh-CN"/>
        </w:rPr>
        <w:t>业务需求科室：</w:t>
      </w:r>
    </w:p>
    <w:p w14:paraId="0ED6E368">
      <w:pPr>
        <w:rPr>
          <w:rFonts w:hint="eastAsia"/>
          <w:b/>
          <w:bCs/>
          <w:sz w:val="28"/>
          <w:szCs w:val="36"/>
          <w:lang w:val="en-US" w:eastAsia="zh-CN"/>
        </w:rPr>
      </w:pPr>
    </w:p>
    <w:p w14:paraId="14FBC1FE">
      <w:pPr>
        <w:rPr>
          <w:rFonts w:hint="default"/>
          <w:b/>
          <w:bCs/>
          <w:sz w:val="28"/>
          <w:szCs w:val="36"/>
          <w:lang w:val="en-US" w:eastAsia="zh-CN"/>
        </w:rPr>
      </w:pPr>
      <w:r>
        <w:rPr>
          <w:rFonts w:hint="eastAsia"/>
          <w:b/>
          <w:bCs/>
          <w:sz w:val="28"/>
          <w:szCs w:val="36"/>
          <w:lang w:val="en-US" w:eastAsia="zh-CN"/>
        </w:rPr>
        <w:t>业务职能科室：</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99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6CBC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6CBC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371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F6D8E"/>
    <w:multiLevelType w:val="multilevel"/>
    <w:tmpl w:val="4A5F6D8E"/>
    <w:lvl w:ilvl="0" w:tentative="0">
      <w:start w:val="1"/>
      <w:numFmt w:val="decimalEnclosedCircle"/>
      <w:pStyle w:val="7"/>
      <w:lvlText w:val="%1"/>
      <w:lvlJc w:val="left"/>
      <w:pPr>
        <w:ind w:left="360" w:hanging="360"/>
      </w:pPr>
      <w:rPr>
        <w:rFonts w:hint="default" w:ascii="等线" w:hAnsi="等线" w:eastAsia="等线"/>
        <w:sz w:val="21"/>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F4C99"/>
    <w:rsid w:val="01A23419"/>
    <w:rsid w:val="08052F46"/>
    <w:rsid w:val="0A2D0F3B"/>
    <w:rsid w:val="178F7E35"/>
    <w:rsid w:val="3C7317B6"/>
    <w:rsid w:val="739F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autoRedefine/>
    <w:qFormat/>
    <w:uiPriority w:val="99"/>
    <w:pPr>
      <w:numPr>
        <w:ilvl w:val="0"/>
        <w:numId w:val="1"/>
      </w:numPr>
      <w:ind w:left="13" w:leftChars="6" w:firstLine="13" w:firstLineChars="6"/>
    </w:pPr>
    <w:rPr>
      <w:szCs w:val="22"/>
    </w:rPr>
  </w:style>
  <w:style w:type="paragraph" w:customStyle="1" w:styleId="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2001</Words>
  <Characters>2064</Characters>
  <Lines>0</Lines>
  <Paragraphs>0</Paragraphs>
  <TotalTime>11</TotalTime>
  <ScaleCrop>false</ScaleCrop>
  <LinksUpToDate>false</LinksUpToDate>
  <CharactersWithSpaces>2070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2025-11-20T02:08:00Z</dcterms:created>
  <dc:creator>爆炸的榴莲</dc:creator>
  <cp:lastModifiedBy>王先先先生～</cp:lastModifiedBy>
  <dcterms:modified xsi:type="dcterms:W3CDTF">2025-12-04T07:54:51Z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A34DB394CE94457E8F69E59D7D6423B7_13</vt:lpwstr>
  </property>
  <property fmtid="{D5CDD505-2E9C-101B-9397-08002B2CF9AE}" pid="4" name="KSOTemplateDocerSaveRecord">
    <vt:lpwstr>eyJoZGlkIjoiYTVmY2ExYjg4MzdkYzVlODFjZWE3ZDY4NzYxMzFmMDUiLCJ1c2VySWQiOiI0MDQ5MzQzNzIifQ==</vt:lpwstr>
  </property>
</Properties>
</file>