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F5DC47">
      <w:pPr>
        <w:pageBreakBefore w:val="0"/>
        <w:shd w:val="clear" w:fill="FFFFFF" w:themeFill="background1"/>
        <w:kinsoku/>
        <w:wordWrap/>
        <w:overflowPunct/>
        <w:topLinePunct w:val="0"/>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theme="minorBidi"/>
          <w:b/>
          <w:color w:val="auto"/>
          <w:sz w:val="36"/>
          <w:szCs w:val="36"/>
          <w:highlight w:val="none"/>
        </w:rPr>
        <w:t>海南省安宁医院12356心理援助热线系统专项升级与扩容服务项目</w:t>
      </w:r>
      <w:r>
        <w:rPr>
          <w:rFonts w:hint="eastAsia" w:ascii="宋体" w:hAnsi="宋体" w:eastAsia="宋体"/>
          <w:b/>
          <w:color w:val="auto"/>
          <w:sz w:val="36"/>
          <w:szCs w:val="36"/>
          <w:highlight w:val="none"/>
        </w:rPr>
        <w:t>采购需求</w:t>
      </w:r>
    </w:p>
    <w:p w14:paraId="530AD39E">
      <w:pPr>
        <w:pStyle w:val="2"/>
        <w:pageBreakBefore w:val="0"/>
        <w:shd w:val="clear" w:fill="FFFFFF" w:themeFill="background1"/>
        <w:kinsoku/>
        <w:wordWrap/>
        <w:overflowPunct/>
        <w:topLinePunct w:val="0"/>
        <w:bidi w:val="0"/>
        <w:adjustRightInd/>
        <w:snapToGrid/>
        <w:spacing w:line="360" w:lineRule="auto"/>
        <w:ind w:left="432" w:leftChars="0" w:hanging="432"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项目概况</w:t>
      </w:r>
    </w:p>
    <w:p w14:paraId="302BFFE1">
      <w:pPr>
        <w:pageBreakBefore w:val="0"/>
        <w:numPr>
          <w:ilvl w:val="1"/>
          <w:numId w:val="2"/>
        </w:numPr>
        <w:shd w:val="clear" w:fill="FFFFFF" w:themeFill="background1"/>
        <w:kinsoku/>
        <w:wordWrap/>
        <w:overflowPunct/>
        <w:topLinePunct w:val="0"/>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项目名称</w:t>
      </w:r>
      <w:r>
        <w:rPr>
          <w:rFonts w:hint="eastAsia" w:ascii="宋体" w:hAnsi="宋体" w:eastAsia="宋体" w:cs="宋体"/>
          <w:sz w:val="24"/>
          <w:szCs w:val="24"/>
          <w:highlight w:val="none"/>
          <w:lang w:eastAsia="zh-CN"/>
        </w:rPr>
        <w:t>：海南省安宁医院12356心理援助热线系统专项升级与扩容服务项目</w:t>
      </w:r>
    </w:p>
    <w:p w14:paraId="0AF7F905">
      <w:pPr>
        <w:pageBreakBefore w:val="0"/>
        <w:numPr>
          <w:ilvl w:val="1"/>
          <w:numId w:val="2"/>
        </w:numPr>
        <w:shd w:val="clear" w:fill="FFFFFF" w:themeFill="background1"/>
        <w:kinsoku/>
        <w:wordWrap/>
        <w:overflowPunct/>
        <w:topLinePunct w:val="0"/>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采购方式：</w:t>
      </w:r>
      <w:r>
        <w:rPr>
          <w:rFonts w:hint="eastAsia" w:ascii="宋体" w:hAnsi="宋体" w:eastAsia="宋体"/>
          <w:color w:val="auto"/>
          <w:sz w:val="24"/>
          <w:highlight w:val="none"/>
        </w:rPr>
        <w:t>院内比选（综合评分法，一次报价）</w:t>
      </w:r>
    </w:p>
    <w:p w14:paraId="4AA0B229">
      <w:pPr>
        <w:pageBreakBefore w:val="0"/>
        <w:numPr>
          <w:ilvl w:val="1"/>
          <w:numId w:val="2"/>
        </w:numPr>
        <w:shd w:val="clear" w:fill="FFFFFF" w:themeFill="background1"/>
        <w:kinsoku/>
        <w:wordWrap/>
        <w:overflowPunct/>
        <w:topLinePunct w:val="0"/>
        <w:bidi w:val="0"/>
        <w:adjustRightInd/>
        <w:snapToGrid/>
        <w:spacing w:line="360" w:lineRule="auto"/>
        <w:textAlignment w:val="auto"/>
        <w:rPr>
          <w:rFonts w:hint="eastAsia" w:ascii="宋体" w:hAnsi="宋体" w:eastAsia="宋体" w:cs="宋体"/>
          <w:b w:val="0"/>
          <w:bCs w:val="0"/>
          <w:caps w:val="0"/>
          <w:color w:val="0F1115"/>
          <w:spacing w:val="0"/>
          <w:sz w:val="24"/>
          <w:szCs w:val="24"/>
          <w:highlight w:val="none"/>
          <w:shd w:val="clear" w:fill="FFFFFF"/>
          <w:lang w:val="en-US" w:eastAsia="zh-CN"/>
        </w:rPr>
      </w:pPr>
      <w:r>
        <w:rPr>
          <w:rFonts w:hint="eastAsia" w:ascii="宋体" w:hAnsi="宋体" w:eastAsia="宋体" w:cs="宋体"/>
          <w:sz w:val="24"/>
          <w:szCs w:val="24"/>
          <w:highlight w:val="none"/>
          <w:lang w:val="en-US" w:eastAsia="zh-CN"/>
        </w:rPr>
        <w:t>合同履行期限</w:t>
      </w:r>
      <w:r>
        <w:rPr>
          <w:rFonts w:hint="eastAsia" w:ascii="宋体" w:hAnsi="宋体" w:eastAsia="宋体" w:cs="宋体"/>
          <w:b w:val="0"/>
          <w:bCs w:val="0"/>
          <w:caps w:val="0"/>
          <w:color w:val="0F1115"/>
          <w:spacing w:val="0"/>
          <w:sz w:val="24"/>
          <w:szCs w:val="24"/>
          <w:highlight w:val="none"/>
          <w:shd w:val="clear" w:fill="FFFFFF"/>
          <w:lang w:val="en-US" w:eastAsia="zh-CN"/>
        </w:rPr>
        <w:t>：</w:t>
      </w:r>
      <w:r>
        <w:rPr>
          <w:rFonts w:hint="eastAsia" w:ascii="宋体" w:hAnsi="宋体" w:eastAsia="宋体"/>
          <w:color w:val="auto"/>
          <w:sz w:val="24"/>
          <w:highlight w:val="none"/>
        </w:rPr>
        <w:t>自合同签订之日起</w:t>
      </w:r>
      <w:r>
        <w:rPr>
          <w:rFonts w:hint="eastAsia" w:ascii="宋体" w:hAnsi="宋体" w:eastAsia="宋体"/>
          <w:color w:val="auto"/>
          <w:sz w:val="24"/>
          <w:highlight w:val="none"/>
          <w:lang w:val="en-US" w:eastAsia="zh-CN"/>
        </w:rPr>
        <w:t>30</w:t>
      </w:r>
      <w:r>
        <w:rPr>
          <w:rFonts w:hint="eastAsia" w:ascii="宋体" w:hAnsi="宋体" w:eastAsia="宋体"/>
          <w:color w:val="auto"/>
          <w:sz w:val="24"/>
          <w:highlight w:val="none"/>
        </w:rPr>
        <w:t>个日历天</w:t>
      </w:r>
    </w:p>
    <w:p w14:paraId="5C1BD0E5">
      <w:pPr>
        <w:pStyle w:val="2"/>
        <w:pageBreakBefore w:val="0"/>
        <w:shd w:val="clear" w:fill="FFFFFF" w:themeFill="background1"/>
        <w:kinsoku/>
        <w:wordWrap/>
        <w:overflowPunct/>
        <w:topLinePunct w:val="0"/>
        <w:bidi w:val="0"/>
        <w:adjustRightInd/>
        <w:snapToGrid/>
        <w:spacing w:line="360" w:lineRule="auto"/>
        <w:ind w:left="432" w:leftChars="0" w:hanging="432" w:firstLineChars="0"/>
        <w:textAlignment w:val="auto"/>
        <w:rPr>
          <w:rFonts w:hint="eastAsia" w:ascii="宋体" w:hAnsi="宋体" w:eastAsia="宋体" w:cs="宋体"/>
          <w:b/>
          <w:sz w:val="24"/>
          <w:szCs w:val="24"/>
          <w:highlight w:val="none"/>
          <w:lang w:val="en-US" w:eastAsia="zh-CN"/>
        </w:rPr>
      </w:pPr>
      <w:r>
        <w:rPr>
          <w:rFonts w:hint="eastAsia" w:ascii="宋体" w:hAnsi="宋体" w:eastAsia="宋体" w:cs="宋体"/>
          <w:b/>
          <w:sz w:val="24"/>
          <w:szCs w:val="24"/>
          <w:highlight w:val="none"/>
          <w:lang w:val="en-US" w:eastAsia="zh-CN"/>
        </w:rPr>
        <w:t>采购需求</w:t>
      </w:r>
    </w:p>
    <w:p w14:paraId="7D222D51">
      <w:pPr>
        <w:pStyle w:val="8"/>
        <w:keepNext w:val="0"/>
        <w:keepLines w:val="0"/>
        <w:pageBreakBefore w:val="0"/>
        <w:widowControl/>
        <w:suppressLineNumbers w:val="0"/>
        <w:shd w:val="clear" w:fill="FFFFFF" w:themeFill="background1"/>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eastAsia" w:ascii="宋体" w:hAnsi="宋体" w:eastAsia="宋体" w:cs="宋体"/>
          <w:i w:val="0"/>
          <w:iCs w:val="0"/>
          <w:caps w:val="0"/>
          <w:color w:val="0F1115"/>
          <w:spacing w:val="0"/>
          <w:sz w:val="24"/>
          <w:szCs w:val="24"/>
          <w:highlight w:val="none"/>
        </w:rPr>
      </w:pPr>
      <w:r>
        <w:rPr>
          <w:rFonts w:hint="eastAsia" w:ascii="宋体" w:hAnsi="宋体" w:eastAsia="宋体" w:cs="宋体"/>
          <w:i w:val="0"/>
          <w:iCs w:val="0"/>
          <w:caps w:val="0"/>
          <w:color w:val="0F1115"/>
          <w:spacing w:val="0"/>
          <w:sz w:val="24"/>
          <w:szCs w:val="24"/>
          <w:highlight w:val="none"/>
          <w:shd w:val="clear" w:fill="FFFFFF"/>
        </w:rPr>
        <w:t>项目为2026年省级平台统筹专项升级工程，</w:t>
      </w:r>
      <w:r>
        <w:rPr>
          <w:rFonts w:hint="eastAsia" w:ascii="宋体" w:hAnsi="宋体" w:eastAsia="宋体" w:cs="宋体"/>
          <w:i w:val="0"/>
          <w:iCs w:val="0"/>
          <w:caps w:val="0"/>
          <w:color w:val="0F1115"/>
          <w:spacing w:val="0"/>
          <w:sz w:val="24"/>
          <w:szCs w:val="24"/>
          <w:highlight w:val="none"/>
          <w:shd w:val="clear" w:fill="FFFFFF"/>
          <w:lang w:val="en-US" w:eastAsia="zh-CN"/>
        </w:rPr>
        <w:t>需</w:t>
      </w:r>
      <w:r>
        <w:rPr>
          <w:rFonts w:hint="eastAsia" w:ascii="宋体" w:hAnsi="宋体" w:eastAsia="宋体" w:cs="宋体"/>
          <w:i w:val="0"/>
          <w:iCs w:val="0"/>
          <w:caps w:val="0"/>
          <w:color w:val="0F1115"/>
          <w:spacing w:val="0"/>
          <w:sz w:val="24"/>
          <w:szCs w:val="24"/>
          <w:highlight w:val="none"/>
          <w:shd w:val="clear" w:fill="FFFFFF"/>
        </w:rPr>
        <w:t>依托前期</w:t>
      </w:r>
      <w:r>
        <w:rPr>
          <w:rFonts w:hint="eastAsia" w:ascii="宋体" w:hAnsi="宋体" w:eastAsia="宋体" w:cs="宋体"/>
          <w:i w:val="0"/>
          <w:iCs w:val="0"/>
          <w:caps w:val="0"/>
          <w:color w:val="0F1115"/>
          <w:spacing w:val="0"/>
          <w:sz w:val="24"/>
          <w:szCs w:val="24"/>
          <w:highlight w:val="none"/>
          <w:shd w:val="clear" w:fill="FFFFFF"/>
          <w:lang w:val="en-US" w:eastAsia="zh-CN"/>
        </w:rPr>
        <w:t>数据和架构进行，</w:t>
      </w:r>
      <w:r>
        <w:rPr>
          <w:rFonts w:hint="eastAsia" w:ascii="宋体" w:hAnsi="宋体" w:eastAsia="宋体" w:cs="宋体"/>
          <w:i w:val="0"/>
          <w:iCs w:val="0"/>
          <w:caps w:val="0"/>
          <w:color w:val="0F1115"/>
          <w:spacing w:val="0"/>
          <w:sz w:val="24"/>
          <w:szCs w:val="24"/>
          <w:highlight w:val="none"/>
          <w:shd w:val="clear" w:fill="FFFFFF"/>
        </w:rPr>
        <w:t>本次升级</w:t>
      </w:r>
      <w:r>
        <w:rPr>
          <w:rFonts w:hint="eastAsia" w:ascii="宋体" w:hAnsi="宋体" w:eastAsia="宋体" w:cs="宋体"/>
          <w:i w:val="0"/>
          <w:iCs w:val="0"/>
          <w:caps w:val="0"/>
          <w:color w:val="0F1115"/>
          <w:spacing w:val="0"/>
          <w:sz w:val="24"/>
          <w:szCs w:val="24"/>
          <w:highlight w:val="none"/>
          <w:shd w:val="clear" w:fill="FFFFFF"/>
          <w:lang w:eastAsia="zh-CN"/>
        </w:rPr>
        <w:t>需</w:t>
      </w:r>
      <w:r>
        <w:rPr>
          <w:rFonts w:hint="eastAsia" w:ascii="宋体" w:hAnsi="宋体" w:eastAsia="宋体" w:cs="宋体"/>
          <w:i w:val="0"/>
          <w:iCs w:val="0"/>
          <w:caps w:val="0"/>
          <w:color w:val="0F1115"/>
          <w:spacing w:val="0"/>
          <w:sz w:val="24"/>
          <w:szCs w:val="24"/>
          <w:highlight w:val="none"/>
          <w:shd w:val="clear" w:fill="FFFFFF"/>
        </w:rPr>
        <w:t>在现网系统架构基础上进行平滑演进，确保业务连续性和数据完整性。</w:t>
      </w:r>
    </w:p>
    <w:p w14:paraId="471CFF52">
      <w:pPr>
        <w:pStyle w:val="8"/>
        <w:keepNext w:val="0"/>
        <w:keepLines w:val="0"/>
        <w:pageBreakBefore w:val="0"/>
        <w:widowControl/>
        <w:suppressLineNumbers w:val="0"/>
        <w:shd w:val="clear" w:fill="FFFFFF" w:themeFill="background1"/>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eastAsia" w:ascii="宋体" w:hAnsi="宋体" w:eastAsia="宋体" w:cs="宋体"/>
          <w:i w:val="0"/>
          <w:iCs w:val="0"/>
          <w:caps w:val="0"/>
          <w:color w:val="auto"/>
          <w:spacing w:val="0"/>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投标人须基于采购人提供的现网系统公开技术接口文档及数据字典，完成系统平滑演进。升级后的系统须满足以下技术约束：</w:t>
      </w:r>
    </w:p>
    <w:p w14:paraId="3E4365C4">
      <w:pPr>
        <w:pStyle w:val="8"/>
        <w:keepNext w:val="0"/>
        <w:keepLines w:val="0"/>
        <w:pageBreakBefore w:val="0"/>
        <w:widowControl/>
        <w:numPr>
          <w:ilvl w:val="0"/>
          <w:numId w:val="3"/>
        </w:numPr>
        <w:suppressLineNumbers w:val="0"/>
        <w:shd w:val="clear" w:fill="FFFFFF" w:themeFill="background1"/>
        <w:kinsoku/>
        <w:wordWrap/>
        <w:overflowPunct/>
        <w:topLinePunct w:val="0"/>
        <w:autoSpaceDE/>
        <w:autoSpaceDN/>
        <w:bidi w:val="0"/>
        <w:adjustRightInd/>
        <w:snapToGrid/>
        <w:spacing w:beforeAutospacing="0" w:afterAutospacing="0" w:line="360" w:lineRule="auto"/>
        <w:ind w:left="425" w:leftChars="0" w:right="0" w:hanging="425" w:firstLineChars="0"/>
        <w:textAlignment w:val="auto"/>
        <w:rPr>
          <w:rFonts w:hint="eastAsia" w:ascii="宋体" w:hAnsi="宋体" w:eastAsia="宋体" w:cs="宋体"/>
          <w:i w:val="0"/>
          <w:iCs w:val="0"/>
          <w:caps w:val="0"/>
          <w:color w:val="auto"/>
          <w:spacing w:val="0"/>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与现有业务系统实现双向数据无缝对接，保证字段映射准确率不低于99.9</w:t>
      </w:r>
      <w:r>
        <w:rPr>
          <w:rFonts w:hint="eastAsia" w:ascii="宋体" w:hAnsi="宋体" w:eastAsia="宋体" w:cs="宋体"/>
          <w:i w:val="0"/>
          <w:iCs w:val="0"/>
          <w:caps w:val="0"/>
          <w:color w:val="auto"/>
          <w:spacing w:val="0"/>
          <w:sz w:val="24"/>
          <w:szCs w:val="24"/>
          <w:highlight w:val="none"/>
          <w:shd w:val="clear" w:fill="FFFFFF"/>
          <w:lang w:val="en-US" w:eastAsia="zh-CN"/>
        </w:rPr>
        <w:t>%</w:t>
      </w:r>
    </w:p>
    <w:p w14:paraId="1038DD3C">
      <w:pPr>
        <w:pStyle w:val="8"/>
        <w:keepNext w:val="0"/>
        <w:keepLines w:val="0"/>
        <w:pageBreakBefore w:val="0"/>
        <w:widowControl/>
        <w:numPr>
          <w:ilvl w:val="0"/>
          <w:numId w:val="3"/>
        </w:numPr>
        <w:suppressLineNumbers w:val="0"/>
        <w:shd w:val="clear" w:fill="FFFFFF" w:themeFill="background1"/>
        <w:kinsoku/>
        <w:wordWrap/>
        <w:overflowPunct/>
        <w:topLinePunct w:val="0"/>
        <w:autoSpaceDE/>
        <w:autoSpaceDN/>
        <w:bidi w:val="0"/>
        <w:adjustRightInd/>
        <w:snapToGrid/>
        <w:spacing w:beforeAutospacing="0" w:afterAutospacing="0" w:line="360" w:lineRule="auto"/>
        <w:ind w:left="425" w:leftChars="0" w:right="0" w:hanging="425" w:firstLineChars="0"/>
        <w:textAlignment w:val="auto"/>
        <w:rPr>
          <w:rFonts w:hint="eastAsia" w:ascii="宋体" w:hAnsi="宋体" w:eastAsia="宋体" w:cs="宋体"/>
          <w:i w:val="0"/>
          <w:iCs w:val="0"/>
          <w:caps w:val="0"/>
          <w:color w:val="auto"/>
          <w:spacing w:val="0"/>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系统架构须支持模块化热部署，确保升级期间业务零中断；</w:t>
      </w:r>
    </w:p>
    <w:p w14:paraId="71C8E311">
      <w:pPr>
        <w:pStyle w:val="8"/>
        <w:keepNext w:val="0"/>
        <w:keepLines w:val="0"/>
        <w:pageBreakBefore w:val="0"/>
        <w:widowControl/>
        <w:numPr>
          <w:ilvl w:val="0"/>
          <w:numId w:val="3"/>
        </w:numPr>
        <w:suppressLineNumbers w:val="0"/>
        <w:shd w:val="clear" w:fill="FFFFFF" w:themeFill="background1"/>
        <w:kinsoku/>
        <w:wordWrap/>
        <w:overflowPunct/>
        <w:topLinePunct w:val="0"/>
        <w:autoSpaceDE/>
        <w:autoSpaceDN/>
        <w:bidi w:val="0"/>
        <w:adjustRightInd/>
        <w:snapToGrid/>
        <w:spacing w:beforeAutospacing="0" w:afterAutospacing="0" w:line="360" w:lineRule="auto"/>
        <w:ind w:left="425" w:leftChars="0" w:right="0" w:hanging="425" w:firstLineChars="0"/>
        <w:textAlignment w:val="auto"/>
        <w:rPr>
          <w:rFonts w:hint="eastAsia" w:ascii="宋体" w:hAnsi="宋体" w:eastAsia="宋体" w:cs="宋体"/>
          <w:i w:val="0"/>
          <w:iCs w:val="0"/>
          <w:caps w:val="0"/>
          <w:color w:val="auto"/>
          <w:spacing w:val="0"/>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历史数据迁移须提供完整的校验报告，确保数据的完整性、一致性和可追溯性。</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861"/>
        <w:gridCol w:w="2419"/>
        <w:gridCol w:w="3444"/>
        <w:gridCol w:w="1795"/>
      </w:tblGrid>
      <w:tr w14:paraId="55682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15" w:hRule="atLeast"/>
        </w:trPr>
        <w:tc>
          <w:tcPr>
            <w:tcW w:w="861" w:type="dxa"/>
            <w:shd w:val="clear" w:color="auto" w:fill="FFFFFF" w:themeFill="background1"/>
            <w:vAlign w:val="top"/>
          </w:tcPr>
          <w:p w14:paraId="1961405E">
            <w:pPr>
              <w:pStyle w:val="8"/>
              <w:keepNext w:val="0"/>
              <w:keepLines w:val="0"/>
              <w:pageBreakBefore w:val="0"/>
              <w:widowControl/>
              <w:suppressLineNumbers w:val="0"/>
              <w:shd w:val="clear" w:fill="FFFFFF" w:themeFill="background1"/>
              <w:kinsoku/>
              <w:wordWrap/>
              <w:overflowPunct/>
              <w:topLinePunct w:val="0"/>
              <w:autoSpaceDE/>
              <w:autoSpaceDN/>
              <w:bidi w:val="0"/>
              <w:adjustRightInd/>
              <w:snapToGrid/>
              <w:spacing w:beforeAutospacing="0" w:afterAutospacing="0" w:line="360" w:lineRule="auto"/>
              <w:ind w:right="0"/>
              <w:jc w:val="center"/>
              <w:textAlignment w:val="auto"/>
              <w:rPr>
                <w:rFonts w:hint="eastAsia" w:ascii="宋体" w:hAnsi="宋体" w:eastAsia="宋体" w:cs="宋体"/>
                <w:i w:val="0"/>
                <w:iCs w:val="0"/>
                <w:caps w:val="0"/>
                <w:color w:val="0F1115"/>
                <w:spacing w:val="0"/>
                <w:sz w:val="24"/>
                <w:szCs w:val="24"/>
                <w:highlight w:val="none"/>
                <w:shd w:val="clear" w:fill="FFFFFF"/>
                <w:vertAlign w:val="baseline"/>
                <w:lang w:val="en-US" w:eastAsia="zh-CN"/>
              </w:rPr>
            </w:pPr>
            <w:r>
              <w:rPr>
                <w:rFonts w:hint="eastAsia" w:ascii="宋体" w:hAnsi="宋体" w:eastAsia="宋体" w:cs="宋体"/>
                <w:i w:val="0"/>
                <w:iCs w:val="0"/>
                <w:caps w:val="0"/>
                <w:color w:val="0F1115"/>
                <w:spacing w:val="0"/>
                <w:sz w:val="24"/>
                <w:szCs w:val="24"/>
                <w:highlight w:val="none"/>
                <w:shd w:val="clear" w:fill="FFFFFF"/>
                <w:vertAlign w:val="baseline"/>
                <w:lang w:val="en-US" w:eastAsia="zh-CN"/>
              </w:rPr>
              <w:t>序号</w:t>
            </w:r>
          </w:p>
        </w:tc>
        <w:tc>
          <w:tcPr>
            <w:tcW w:w="2419" w:type="dxa"/>
            <w:shd w:val="clear" w:color="auto" w:fill="FFFFFF" w:themeFill="background1"/>
            <w:vAlign w:val="top"/>
          </w:tcPr>
          <w:p w14:paraId="17C0514A">
            <w:pPr>
              <w:pStyle w:val="8"/>
              <w:keepNext w:val="0"/>
              <w:keepLines w:val="0"/>
              <w:pageBreakBefore w:val="0"/>
              <w:widowControl/>
              <w:suppressLineNumbers w:val="0"/>
              <w:shd w:val="clear" w:fill="FFFFFF" w:themeFill="background1"/>
              <w:kinsoku/>
              <w:wordWrap/>
              <w:overflowPunct/>
              <w:topLinePunct w:val="0"/>
              <w:autoSpaceDE/>
              <w:autoSpaceDN/>
              <w:bidi w:val="0"/>
              <w:adjustRightInd/>
              <w:snapToGrid/>
              <w:spacing w:beforeAutospacing="0" w:afterAutospacing="0" w:line="360" w:lineRule="auto"/>
              <w:ind w:right="0"/>
              <w:jc w:val="center"/>
              <w:textAlignment w:val="auto"/>
              <w:rPr>
                <w:rFonts w:hint="eastAsia" w:ascii="宋体" w:hAnsi="宋体" w:eastAsia="宋体" w:cs="宋体"/>
                <w:i w:val="0"/>
                <w:iCs w:val="0"/>
                <w:caps w:val="0"/>
                <w:color w:val="0F1115"/>
                <w:spacing w:val="0"/>
                <w:sz w:val="24"/>
                <w:szCs w:val="24"/>
                <w:highlight w:val="none"/>
                <w:shd w:val="clear" w:fill="FFFFFF"/>
                <w:vertAlign w:val="baseline"/>
                <w:lang w:val="en-US" w:eastAsia="zh-CN"/>
              </w:rPr>
            </w:pPr>
            <w:r>
              <w:rPr>
                <w:rFonts w:hint="eastAsia" w:ascii="宋体" w:hAnsi="宋体" w:eastAsia="宋体" w:cs="宋体"/>
                <w:i w:val="0"/>
                <w:iCs w:val="0"/>
                <w:caps w:val="0"/>
                <w:color w:val="0F1115"/>
                <w:spacing w:val="0"/>
                <w:sz w:val="24"/>
                <w:szCs w:val="24"/>
                <w:highlight w:val="none"/>
                <w:shd w:val="clear" w:fill="FFFFFF"/>
                <w:vertAlign w:val="baseline"/>
                <w:lang w:val="en-US" w:eastAsia="zh-CN"/>
              </w:rPr>
              <w:t>服务项</w:t>
            </w:r>
          </w:p>
          <w:p w14:paraId="7C9B46DF">
            <w:pPr>
              <w:pStyle w:val="8"/>
              <w:keepNext w:val="0"/>
              <w:keepLines w:val="0"/>
              <w:pageBreakBefore w:val="0"/>
              <w:widowControl/>
              <w:suppressLineNumbers w:val="0"/>
              <w:shd w:val="clear" w:fill="FFFFFF" w:themeFill="background1"/>
              <w:kinsoku/>
              <w:wordWrap/>
              <w:overflowPunct/>
              <w:topLinePunct w:val="0"/>
              <w:autoSpaceDE/>
              <w:autoSpaceDN/>
              <w:bidi w:val="0"/>
              <w:adjustRightInd/>
              <w:snapToGrid/>
              <w:spacing w:beforeAutospacing="0" w:afterAutospacing="0" w:line="360" w:lineRule="auto"/>
              <w:ind w:right="0"/>
              <w:jc w:val="center"/>
              <w:textAlignment w:val="auto"/>
              <w:rPr>
                <w:rFonts w:hint="eastAsia" w:ascii="宋体" w:hAnsi="宋体" w:eastAsia="宋体" w:cs="宋体"/>
                <w:i w:val="0"/>
                <w:iCs w:val="0"/>
                <w:caps w:val="0"/>
                <w:color w:val="0F1115"/>
                <w:spacing w:val="0"/>
                <w:sz w:val="24"/>
                <w:szCs w:val="24"/>
                <w:highlight w:val="none"/>
                <w:shd w:val="clear" w:fill="FFFFFF"/>
                <w:vertAlign w:val="baseline"/>
                <w:lang w:val="en-US" w:eastAsia="zh-CN"/>
              </w:rPr>
            </w:pPr>
          </w:p>
        </w:tc>
        <w:tc>
          <w:tcPr>
            <w:tcW w:w="3444" w:type="dxa"/>
            <w:shd w:val="clear" w:color="auto" w:fill="FFFFFF" w:themeFill="background1"/>
            <w:vAlign w:val="top"/>
          </w:tcPr>
          <w:p w14:paraId="3FFAD9B5">
            <w:pPr>
              <w:pStyle w:val="8"/>
              <w:keepNext w:val="0"/>
              <w:keepLines w:val="0"/>
              <w:pageBreakBefore w:val="0"/>
              <w:widowControl/>
              <w:suppressLineNumbers w:val="0"/>
              <w:shd w:val="clear" w:fill="FFFFFF" w:themeFill="background1"/>
              <w:kinsoku/>
              <w:wordWrap/>
              <w:overflowPunct/>
              <w:topLinePunct w:val="0"/>
              <w:autoSpaceDE/>
              <w:autoSpaceDN/>
              <w:bidi w:val="0"/>
              <w:adjustRightInd/>
              <w:snapToGrid/>
              <w:spacing w:beforeAutospacing="0" w:afterAutospacing="0" w:line="360" w:lineRule="auto"/>
              <w:ind w:right="0"/>
              <w:jc w:val="center"/>
              <w:textAlignment w:val="auto"/>
              <w:rPr>
                <w:rFonts w:hint="eastAsia" w:ascii="宋体" w:hAnsi="宋体" w:eastAsia="宋体" w:cs="宋体"/>
                <w:i w:val="0"/>
                <w:iCs w:val="0"/>
                <w:caps w:val="0"/>
                <w:color w:val="0F1115"/>
                <w:spacing w:val="0"/>
                <w:sz w:val="24"/>
                <w:szCs w:val="24"/>
                <w:highlight w:val="none"/>
                <w:shd w:val="clear" w:fill="FFFFFF"/>
                <w:vertAlign w:val="baseline"/>
                <w:lang w:val="en-US" w:eastAsia="zh-CN"/>
              </w:rPr>
            </w:pPr>
            <w:r>
              <w:rPr>
                <w:rFonts w:hint="eastAsia" w:ascii="宋体" w:hAnsi="宋体" w:eastAsia="宋体" w:cs="宋体"/>
                <w:i w:val="0"/>
                <w:iCs w:val="0"/>
                <w:caps w:val="0"/>
                <w:color w:val="0F1115"/>
                <w:spacing w:val="0"/>
                <w:sz w:val="24"/>
                <w:szCs w:val="24"/>
                <w:highlight w:val="none"/>
                <w:shd w:val="clear" w:fill="FFFFFF"/>
                <w:vertAlign w:val="baseline"/>
                <w:lang w:val="en-US" w:eastAsia="zh-CN"/>
              </w:rPr>
              <w:t>服务内容简述</w:t>
            </w:r>
          </w:p>
        </w:tc>
        <w:tc>
          <w:tcPr>
            <w:tcW w:w="1795" w:type="dxa"/>
            <w:shd w:val="clear" w:color="auto" w:fill="FFFFFF" w:themeFill="background1"/>
            <w:vAlign w:val="top"/>
          </w:tcPr>
          <w:p w14:paraId="71E54BD2">
            <w:pPr>
              <w:pStyle w:val="8"/>
              <w:keepNext w:val="0"/>
              <w:keepLines w:val="0"/>
              <w:pageBreakBefore w:val="0"/>
              <w:widowControl/>
              <w:suppressLineNumbers w:val="0"/>
              <w:shd w:val="clear" w:fill="FFFFFF" w:themeFill="background1"/>
              <w:kinsoku/>
              <w:wordWrap/>
              <w:overflowPunct/>
              <w:topLinePunct w:val="0"/>
              <w:autoSpaceDE/>
              <w:autoSpaceDN/>
              <w:bidi w:val="0"/>
              <w:adjustRightInd/>
              <w:snapToGrid/>
              <w:spacing w:beforeAutospacing="0" w:afterAutospacing="0" w:line="360" w:lineRule="auto"/>
              <w:ind w:right="0"/>
              <w:jc w:val="center"/>
              <w:textAlignment w:val="auto"/>
              <w:rPr>
                <w:rFonts w:hint="eastAsia" w:ascii="宋体" w:hAnsi="宋体" w:eastAsia="宋体" w:cs="宋体"/>
                <w:i w:val="0"/>
                <w:iCs w:val="0"/>
                <w:caps w:val="0"/>
                <w:color w:val="0F1115"/>
                <w:spacing w:val="0"/>
                <w:sz w:val="24"/>
                <w:szCs w:val="24"/>
                <w:highlight w:val="none"/>
                <w:shd w:val="clear" w:fill="FFFFFF"/>
                <w:vertAlign w:val="baseline"/>
                <w:lang w:val="en-US" w:eastAsia="zh-CN"/>
              </w:rPr>
            </w:pPr>
            <w:r>
              <w:rPr>
                <w:rFonts w:hint="eastAsia" w:ascii="宋体" w:hAnsi="宋体" w:eastAsia="宋体" w:cs="宋体"/>
                <w:i w:val="0"/>
                <w:iCs w:val="0"/>
                <w:caps w:val="0"/>
                <w:color w:val="0F1115"/>
                <w:spacing w:val="0"/>
                <w:sz w:val="24"/>
                <w:szCs w:val="24"/>
                <w:highlight w:val="none"/>
                <w:shd w:val="clear" w:fill="FFFFFF"/>
                <w:vertAlign w:val="baseline"/>
                <w:lang w:val="en-US" w:eastAsia="zh-CN"/>
              </w:rPr>
              <w:t>备注</w:t>
            </w:r>
          </w:p>
        </w:tc>
      </w:tr>
      <w:tr w14:paraId="186E3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shd w:val="clear" w:color="auto" w:fill="FFFFFF" w:themeFill="background1"/>
            <w:vAlign w:val="top"/>
          </w:tcPr>
          <w:p w14:paraId="0A542BFD">
            <w:pPr>
              <w:pStyle w:val="8"/>
              <w:keepNext w:val="0"/>
              <w:keepLines w:val="0"/>
              <w:pageBreakBefore w:val="0"/>
              <w:widowControl/>
              <w:suppressLineNumbers w:val="0"/>
              <w:shd w:val="clear" w:fill="FFFFFF" w:themeFill="background1"/>
              <w:kinsoku/>
              <w:wordWrap/>
              <w:overflowPunct/>
              <w:topLinePunct w:val="0"/>
              <w:autoSpaceDE/>
              <w:autoSpaceDN/>
              <w:bidi w:val="0"/>
              <w:adjustRightInd/>
              <w:snapToGrid/>
              <w:spacing w:beforeAutospacing="0" w:afterAutospacing="0" w:line="360" w:lineRule="auto"/>
              <w:ind w:right="0"/>
              <w:jc w:val="center"/>
              <w:textAlignment w:val="auto"/>
              <w:rPr>
                <w:rFonts w:hint="eastAsia" w:ascii="宋体" w:hAnsi="宋体" w:eastAsia="宋体" w:cs="宋体"/>
                <w:i w:val="0"/>
                <w:iCs w:val="0"/>
                <w:caps w:val="0"/>
                <w:color w:val="0F1115"/>
                <w:spacing w:val="0"/>
                <w:sz w:val="24"/>
                <w:szCs w:val="24"/>
                <w:highlight w:val="none"/>
                <w:shd w:val="clear" w:fill="FFFFFF"/>
                <w:vertAlign w:val="baseline"/>
                <w:lang w:val="en-US" w:eastAsia="zh-CN"/>
              </w:rPr>
            </w:pPr>
            <w:r>
              <w:rPr>
                <w:rFonts w:hint="eastAsia" w:ascii="宋体" w:hAnsi="宋体" w:eastAsia="宋体" w:cs="宋体"/>
                <w:i w:val="0"/>
                <w:iCs w:val="0"/>
                <w:caps w:val="0"/>
                <w:color w:val="0F1115"/>
                <w:spacing w:val="0"/>
                <w:sz w:val="24"/>
                <w:szCs w:val="24"/>
                <w:highlight w:val="none"/>
                <w:shd w:val="clear" w:fill="FFFFFF"/>
                <w:vertAlign w:val="baseline"/>
                <w:lang w:val="en-US" w:eastAsia="zh-CN"/>
              </w:rPr>
              <w:t>1</w:t>
            </w:r>
          </w:p>
        </w:tc>
        <w:tc>
          <w:tcPr>
            <w:tcW w:w="2419" w:type="dxa"/>
            <w:shd w:val="clear" w:color="auto" w:fill="FFFFFF" w:themeFill="background1"/>
            <w:vAlign w:val="top"/>
          </w:tcPr>
          <w:p w14:paraId="338491F9">
            <w:pPr>
              <w:pStyle w:val="8"/>
              <w:keepNext w:val="0"/>
              <w:keepLines w:val="0"/>
              <w:pageBreakBefore w:val="0"/>
              <w:widowControl/>
              <w:suppressLineNumbers w:val="0"/>
              <w:shd w:val="clear" w:fill="FFFFFF" w:themeFill="background1"/>
              <w:kinsoku/>
              <w:wordWrap/>
              <w:overflowPunct/>
              <w:topLinePunct w:val="0"/>
              <w:autoSpaceDE/>
              <w:autoSpaceDN/>
              <w:bidi w:val="0"/>
              <w:adjustRightInd/>
              <w:snapToGrid/>
              <w:spacing w:beforeAutospacing="0" w:afterAutospacing="0" w:line="360" w:lineRule="auto"/>
              <w:ind w:right="0"/>
              <w:jc w:val="center"/>
              <w:textAlignment w:val="auto"/>
              <w:rPr>
                <w:rFonts w:hint="eastAsia" w:ascii="宋体" w:hAnsi="宋体" w:eastAsia="宋体" w:cs="宋体"/>
                <w:i w:val="0"/>
                <w:iCs w:val="0"/>
                <w:caps w:val="0"/>
                <w:color w:val="0F1115"/>
                <w:spacing w:val="0"/>
                <w:sz w:val="24"/>
                <w:szCs w:val="24"/>
                <w:highlight w:val="none"/>
                <w:shd w:val="clear" w:fill="FFFFFF"/>
                <w:vertAlign w:val="baseline"/>
                <w:lang w:val="en-US" w:eastAsia="zh-CN"/>
              </w:rPr>
            </w:pPr>
            <w:r>
              <w:rPr>
                <w:rFonts w:hint="eastAsia" w:ascii="宋体" w:hAnsi="宋体" w:eastAsia="宋体" w:cs="宋体"/>
                <w:i w:val="0"/>
                <w:iCs w:val="0"/>
                <w:caps w:val="0"/>
                <w:color w:val="0F1115"/>
                <w:spacing w:val="0"/>
                <w:sz w:val="24"/>
                <w:szCs w:val="24"/>
                <w:highlight w:val="none"/>
                <w:shd w:val="clear" w:fill="FFFFFF"/>
                <w:vertAlign w:val="baseline"/>
                <w:lang w:val="en-US" w:eastAsia="zh-CN"/>
              </w:rPr>
              <w:t>省级平台功能改造服务</w:t>
            </w:r>
          </w:p>
          <w:p w14:paraId="704633EA">
            <w:pPr>
              <w:pStyle w:val="8"/>
              <w:keepNext w:val="0"/>
              <w:keepLines w:val="0"/>
              <w:pageBreakBefore w:val="0"/>
              <w:widowControl/>
              <w:suppressLineNumbers w:val="0"/>
              <w:shd w:val="clear" w:fill="FFFFFF" w:themeFill="background1"/>
              <w:kinsoku/>
              <w:wordWrap/>
              <w:overflowPunct/>
              <w:topLinePunct w:val="0"/>
              <w:autoSpaceDE/>
              <w:autoSpaceDN/>
              <w:bidi w:val="0"/>
              <w:adjustRightInd/>
              <w:snapToGrid/>
              <w:spacing w:beforeAutospacing="0" w:afterAutospacing="0" w:line="360" w:lineRule="auto"/>
              <w:ind w:right="0"/>
              <w:jc w:val="center"/>
              <w:textAlignment w:val="auto"/>
              <w:rPr>
                <w:rFonts w:hint="eastAsia" w:ascii="宋体" w:hAnsi="宋体" w:eastAsia="宋体" w:cs="宋体"/>
                <w:i w:val="0"/>
                <w:iCs w:val="0"/>
                <w:caps w:val="0"/>
                <w:color w:val="0F1115"/>
                <w:spacing w:val="0"/>
                <w:sz w:val="24"/>
                <w:szCs w:val="24"/>
                <w:highlight w:val="none"/>
                <w:shd w:val="clear" w:fill="FFFFFF"/>
                <w:vertAlign w:val="baseline"/>
                <w:lang w:val="en-US" w:eastAsia="zh-CN"/>
              </w:rPr>
            </w:pPr>
          </w:p>
        </w:tc>
        <w:tc>
          <w:tcPr>
            <w:tcW w:w="3444" w:type="dxa"/>
            <w:shd w:val="clear" w:color="auto" w:fill="FFFFFF" w:themeFill="background1"/>
            <w:vAlign w:val="top"/>
          </w:tcPr>
          <w:p w14:paraId="0CA2271C">
            <w:pPr>
              <w:pStyle w:val="3"/>
              <w:pageBreakBefore w:val="0"/>
              <w:numPr>
                <w:ilvl w:val="1"/>
                <w:numId w:val="0"/>
              </w:numPr>
              <w:shd w:val="clear" w:fill="FFFFFF" w:themeFill="background1"/>
              <w:kinsoku/>
              <w:wordWrap/>
              <w:overflowPunct/>
              <w:topLinePunct w:val="0"/>
              <w:bidi w:val="0"/>
              <w:adjustRightInd/>
              <w:snapToGrid/>
              <w:spacing w:line="360" w:lineRule="auto"/>
              <w:ind w:left="0" w:leftChars="0" w:firstLine="0" w:firstLineChars="0"/>
              <w:jc w:val="left"/>
              <w:textAlignment w:val="auto"/>
              <w:rPr>
                <w:rFonts w:hint="eastAsia"/>
                <w:strike/>
                <w:dstrike w:val="0"/>
                <w:highlight w:val="none"/>
                <w:lang w:val="en-US" w:eastAsia="zh-CN"/>
              </w:rPr>
            </w:pPr>
            <w:r>
              <w:rPr>
                <w:rFonts w:hint="eastAsia" w:ascii="宋体" w:hAnsi="宋体" w:eastAsia="宋体" w:cs="宋体"/>
                <w:b w:val="0"/>
                <w:bCs w:val="0"/>
                <w:i w:val="0"/>
                <w:iCs w:val="0"/>
                <w:caps w:val="0"/>
                <w:color w:val="auto"/>
                <w:spacing w:val="0"/>
                <w:kern w:val="2"/>
                <w:sz w:val="24"/>
                <w:szCs w:val="24"/>
                <w:highlight w:val="none"/>
                <w:shd w:val="clear" w:fill="FFFFFF"/>
                <w:vertAlign w:val="baseline"/>
                <w:lang w:val="en-US" w:eastAsia="zh-CN" w:bidi="ar-SA"/>
              </w:rPr>
              <w:t>在原平台基础上完成功能改造服务要求</w:t>
            </w:r>
            <w:r>
              <w:rPr>
                <w:rFonts w:hint="eastAsia" w:cs="宋体"/>
                <w:b w:val="0"/>
                <w:bCs w:val="0"/>
                <w:i w:val="0"/>
                <w:iCs w:val="0"/>
                <w:caps w:val="0"/>
                <w:color w:val="auto"/>
                <w:spacing w:val="0"/>
                <w:kern w:val="2"/>
                <w:sz w:val="24"/>
                <w:szCs w:val="24"/>
                <w:highlight w:val="none"/>
                <w:shd w:val="clear" w:fill="FFFFFF"/>
                <w:vertAlign w:val="baseline"/>
                <w:lang w:val="en-US" w:eastAsia="zh-CN" w:bidi="ar-SA"/>
              </w:rPr>
              <w:t>（</w:t>
            </w:r>
            <w:r>
              <w:rPr>
                <w:rFonts w:hint="eastAsia" w:ascii="宋体" w:hAnsi="宋体" w:eastAsia="宋体" w:cs="宋体"/>
                <w:b w:val="0"/>
                <w:bCs w:val="0"/>
                <w:i w:val="0"/>
                <w:iCs w:val="0"/>
                <w:caps w:val="0"/>
                <w:color w:val="0F1115"/>
                <w:spacing w:val="0"/>
                <w:kern w:val="2"/>
                <w:sz w:val="24"/>
                <w:szCs w:val="24"/>
                <w:highlight w:val="none"/>
                <w:shd w:val="clear" w:fill="FFFFFF"/>
                <w:vertAlign w:val="baseline"/>
                <w:lang w:val="en-US" w:eastAsia="zh-CN" w:bidi="ar-SA"/>
              </w:rPr>
              <w:t>详见3.2功能改造服务要求）</w:t>
            </w:r>
          </w:p>
        </w:tc>
        <w:tc>
          <w:tcPr>
            <w:tcW w:w="1795" w:type="dxa"/>
            <w:shd w:val="clear" w:color="auto" w:fill="FFFFFF" w:themeFill="background1"/>
            <w:vAlign w:val="top"/>
          </w:tcPr>
          <w:p w14:paraId="48903668">
            <w:pPr>
              <w:pStyle w:val="8"/>
              <w:keepNext w:val="0"/>
              <w:keepLines w:val="0"/>
              <w:pageBreakBefore w:val="0"/>
              <w:widowControl/>
              <w:suppressLineNumbers w:val="0"/>
              <w:shd w:val="clear" w:fill="FFFFFF" w:themeFill="background1"/>
              <w:kinsoku/>
              <w:wordWrap/>
              <w:overflowPunct/>
              <w:topLinePunct w:val="0"/>
              <w:autoSpaceDE/>
              <w:autoSpaceDN/>
              <w:bidi w:val="0"/>
              <w:adjustRightInd/>
              <w:snapToGrid/>
              <w:spacing w:beforeAutospacing="0" w:afterAutospacing="0" w:line="360" w:lineRule="auto"/>
              <w:ind w:right="0"/>
              <w:jc w:val="center"/>
              <w:textAlignment w:val="auto"/>
              <w:rPr>
                <w:rFonts w:hint="eastAsia" w:ascii="宋体" w:hAnsi="宋体" w:eastAsia="宋体" w:cs="宋体"/>
                <w:i w:val="0"/>
                <w:iCs w:val="0"/>
                <w:caps w:val="0"/>
                <w:color w:val="0F1115"/>
                <w:spacing w:val="0"/>
                <w:sz w:val="24"/>
                <w:szCs w:val="24"/>
                <w:highlight w:val="none"/>
                <w:shd w:val="clear" w:fill="FFFFFF"/>
                <w:vertAlign w:val="baseline"/>
                <w:lang w:val="en-US" w:eastAsia="zh-CN"/>
              </w:rPr>
            </w:pPr>
            <w:r>
              <w:rPr>
                <w:rFonts w:hint="eastAsia" w:ascii="宋体" w:hAnsi="宋体" w:eastAsia="宋体" w:cs="宋体"/>
                <w:i w:val="0"/>
                <w:iCs w:val="0"/>
                <w:caps w:val="0"/>
                <w:color w:val="0F1115"/>
                <w:spacing w:val="0"/>
                <w:sz w:val="24"/>
                <w:szCs w:val="24"/>
                <w:highlight w:val="none"/>
                <w:shd w:val="clear" w:fill="FFFFFF"/>
                <w:vertAlign w:val="baseline"/>
                <w:lang w:val="en-US" w:eastAsia="zh-CN"/>
              </w:rPr>
              <w:t>须提供详细的接口变更说明及回归测试方案</w:t>
            </w:r>
          </w:p>
          <w:p w14:paraId="64EBEE33">
            <w:pPr>
              <w:pStyle w:val="8"/>
              <w:keepNext w:val="0"/>
              <w:keepLines w:val="0"/>
              <w:pageBreakBefore w:val="0"/>
              <w:widowControl/>
              <w:suppressLineNumbers w:val="0"/>
              <w:shd w:val="clear" w:fill="FFFFFF" w:themeFill="background1"/>
              <w:kinsoku/>
              <w:wordWrap/>
              <w:overflowPunct/>
              <w:topLinePunct w:val="0"/>
              <w:autoSpaceDE/>
              <w:autoSpaceDN/>
              <w:bidi w:val="0"/>
              <w:adjustRightInd/>
              <w:snapToGrid/>
              <w:spacing w:beforeAutospacing="0" w:afterAutospacing="0" w:line="360" w:lineRule="auto"/>
              <w:ind w:right="0"/>
              <w:jc w:val="center"/>
              <w:textAlignment w:val="auto"/>
              <w:rPr>
                <w:rFonts w:hint="eastAsia" w:ascii="宋体" w:hAnsi="宋体" w:eastAsia="宋体" w:cs="宋体"/>
                <w:i w:val="0"/>
                <w:iCs w:val="0"/>
                <w:caps w:val="0"/>
                <w:color w:val="0F1115"/>
                <w:spacing w:val="0"/>
                <w:sz w:val="24"/>
                <w:szCs w:val="24"/>
                <w:highlight w:val="none"/>
                <w:shd w:val="clear" w:fill="FFFFFF"/>
                <w:vertAlign w:val="baseline"/>
                <w:lang w:val="en-US" w:eastAsia="zh-CN"/>
              </w:rPr>
            </w:pPr>
          </w:p>
        </w:tc>
      </w:tr>
      <w:tr w14:paraId="7FCC8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shd w:val="clear" w:color="auto" w:fill="FFFFFF" w:themeFill="background1"/>
            <w:vAlign w:val="top"/>
          </w:tcPr>
          <w:p w14:paraId="2206A175">
            <w:pPr>
              <w:pStyle w:val="8"/>
              <w:keepNext w:val="0"/>
              <w:keepLines w:val="0"/>
              <w:pageBreakBefore w:val="0"/>
              <w:widowControl/>
              <w:suppressLineNumbers w:val="0"/>
              <w:shd w:val="clear" w:fill="FFFFFF" w:themeFill="background1"/>
              <w:kinsoku/>
              <w:wordWrap/>
              <w:overflowPunct/>
              <w:topLinePunct w:val="0"/>
              <w:autoSpaceDE/>
              <w:autoSpaceDN/>
              <w:bidi w:val="0"/>
              <w:adjustRightInd/>
              <w:snapToGrid/>
              <w:spacing w:beforeAutospacing="0" w:afterAutospacing="0" w:line="360" w:lineRule="auto"/>
              <w:ind w:right="0"/>
              <w:jc w:val="center"/>
              <w:textAlignment w:val="auto"/>
              <w:rPr>
                <w:rFonts w:hint="eastAsia" w:ascii="宋体" w:hAnsi="宋体" w:eastAsia="宋体" w:cs="宋体"/>
                <w:i w:val="0"/>
                <w:iCs w:val="0"/>
                <w:caps w:val="0"/>
                <w:color w:val="0F1115"/>
                <w:spacing w:val="0"/>
                <w:sz w:val="24"/>
                <w:szCs w:val="24"/>
                <w:highlight w:val="none"/>
                <w:shd w:val="clear" w:fill="FFFFFF"/>
                <w:vertAlign w:val="baseline"/>
                <w:lang w:val="en-US" w:eastAsia="zh-CN"/>
              </w:rPr>
            </w:pPr>
            <w:r>
              <w:rPr>
                <w:rFonts w:hint="eastAsia" w:ascii="宋体" w:hAnsi="宋体" w:eastAsia="宋体" w:cs="宋体"/>
                <w:i w:val="0"/>
                <w:iCs w:val="0"/>
                <w:caps w:val="0"/>
                <w:color w:val="0F1115"/>
                <w:spacing w:val="0"/>
                <w:sz w:val="24"/>
                <w:szCs w:val="24"/>
                <w:highlight w:val="none"/>
                <w:shd w:val="clear" w:fill="FFFFFF"/>
                <w:vertAlign w:val="baseline"/>
                <w:lang w:val="en-US" w:eastAsia="zh-CN"/>
              </w:rPr>
              <w:t>2</w:t>
            </w:r>
          </w:p>
        </w:tc>
        <w:tc>
          <w:tcPr>
            <w:tcW w:w="2419" w:type="dxa"/>
            <w:shd w:val="clear" w:color="auto" w:fill="FFFFFF" w:themeFill="background1"/>
            <w:vAlign w:val="top"/>
          </w:tcPr>
          <w:p w14:paraId="5B72487E">
            <w:pPr>
              <w:pStyle w:val="8"/>
              <w:keepNext w:val="0"/>
              <w:keepLines w:val="0"/>
              <w:pageBreakBefore w:val="0"/>
              <w:widowControl/>
              <w:suppressLineNumbers w:val="0"/>
              <w:shd w:val="clear" w:fill="FFFFFF" w:themeFill="background1"/>
              <w:kinsoku/>
              <w:wordWrap/>
              <w:overflowPunct/>
              <w:topLinePunct w:val="0"/>
              <w:autoSpaceDE/>
              <w:autoSpaceDN/>
              <w:bidi w:val="0"/>
              <w:adjustRightInd/>
              <w:snapToGrid/>
              <w:spacing w:beforeAutospacing="0" w:afterAutospacing="0" w:line="360" w:lineRule="auto"/>
              <w:ind w:right="0"/>
              <w:jc w:val="center"/>
              <w:textAlignment w:val="auto"/>
              <w:rPr>
                <w:rFonts w:hint="eastAsia" w:ascii="宋体" w:hAnsi="宋体" w:eastAsia="宋体" w:cs="宋体"/>
                <w:i w:val="0"/>
                <w:iCs w:val="0"/>
                <w:caps w:val="0"/>
                <w:color w:val="0F1115"/>
                <w:spacing w:val="0"/>
                <w:sz w:val="24"/>
                <w:szCs w:val="24"/>
                <w:highlight w:val="none"/>
                <w:shd w:val="clear" w:fill="FFFFFF"/>
                <w:vertAlign w:val="baseline"/>
                <w:lang w:val="en-US" w:eastAsia="zh-CN"/>
              </w:rPr>
            </w:pPr>
            <w:r>
              <w:rPr>
                <w:rFonts w:hint="eastAsia" w:ascii="宋体" w:hAnsi="宋体" w:eastAsia="宋体" w:cs="宋体"/>
                <w:i w:val="0"/>
                <w:iCs w:val="0"/>
                <w:caps w:val="0"/>
                <w:color w:val="0F1115"/>
                <w:spacing w:val="0"/>
                <w:sz w:val="24"/>
                <w:szCs w:val="24"/>
                <w:highlight w:val="none"/>
                <w:shd w:val="clear" w:fill="FFFFFF"/>
                <w:vertAlign w:val="baseline"/>
                <w:lang w:val="en-US" w:eastAsia="zh-CN"/>
              </w:rPr>
              <w:t>地级坐席软件许可扩容</w:t>
            </w:r>
          </w:p>
          <w:p w14:paraId="541CD90A">
            <w:pPr>
              <w:pStyle w:val="8"/>
              <w:keepNext w:val="0"/>
              <w:keepLines w:val="0"/>
              <w:pageBreakBefore w:val="0"/>
              <w:widowControl/>
              <w:suppressLineNumbers w:val="0"/>
              <w:shd w:val="clear" w:fill="FFFFFF" w:themeFill="background1"/>
              <w:kinsoku/>
              <w:wordWrap/>
              <w:overflowPunct/>
              <w:topLinePunct w:val="0"/>
              <w:autoSpaceDE/>
              <w:autoSpaceDN/>
              <w:bidi w:val="0"/>
              <w:adjustRightInd/>
              <w:snapToGrid/>
              <w:spacing w:beforeAutospacing="0" w:afterAutospacing="0" w:line="360" w:lineRule="auto"/>
              <w:ind w:right="0"/>
              <w:jc w:val="center"/>
              <w:textAlignment w:val="auto"/>
              <w:rPr>
                <w:rFonts w:hint="eastAsia" w:ascii="宋体" w:hAnsi="宋体" w:eastAsia="宋体" w:cs="宋体"/>
                <w:i w:val="0"/>
                <w:iCs w:val="0"/>
                <w:caps w:val="0"/>
                <w:color w:val="0F1115"/>
                <w:spacing w:val="0"/>
                <w:sz w:val="24"/>
                <w:szCs w:val="24"/>
                <w:highlight w:val="none"/>
                <w:shd w:val="clear" w:fill="FFFFFF"/>
                <w:vertAlign w:val="baseline"/>
                <w:lang w:val="en-US" w:eastAsia="zh-CN"/>
              </w:rPr>
            </w:pPr>
          </w:p>
        </w:tc>
        <w:tc>
          <w:tcPr>
            <w:tcW w:w="3444" w:type="dxa"/>
            <w:shd w:val="clear" w:color="auto" w:fill="FFFFFF" w:themeFill="background1"/>
            <w:vAlign w:val="top"/>
          </w:tcPr>
          <w:p w14:paraId="2528E56A">
            <w:pPr>
              <w:pStyle w:val="8"/>
              <w:keepNext w:val="0"/>
              <w:keepLines w:val="0"/>
              <w:pageBreakBefore w:val="0"/>
              <w:widowControl/>
              <w:suppressLineNumbers w:val="0"/>
              <w:shd w:val="clear" w:fill="FFFFFF" w:themeFill="background1"/>
              <w:kinsoku/>
              <w:wordWrap/>
              <w:overflowPunct/>
              <w:topLinePunct w:val="0"/>
              <w:autoSpaceDE/>
              <w:autoSpaceDN/>
              <w:bidi w:val="0"/>
              <w:adjustRightInd/>
              <w:snapToGrid/>
              <w:spacing w:beforeAutospacing="0" w:afterAutospacing="0" w:line="360" w:lineRule="auto"/>
              <w:ind w:right="0"/>
              <w:jc w:val="center"/>
              <w:textAlignment w:val="auto"/>
              <w:rPr>
                <w:rFonts w:hint="eastAsia" w:ascii="宋体" w:hAnsi="宋体" w:eastAsia="宋体" w:cs="宋体"/>
                <w:i w:val="0"/>
                <w:iCs w:val="0"/>
                <w:caps w:val="0"/>
                <w:color w:val="0F1115"/>
                <w:spacing w:val="0"/>
                <w:sz w:val="24"/>
                <w:szCs w:val="24"/>
                <w:highlight w:val="none"/>
                <w:shd w:val="clear" w:fill="FFFFFF"/>
                <w:vertAlign w:val="baseline"/>
                <w:lang w:val="en-US" w:eastAsia="zh-CN"/>
              </w:rPr>
            </w:pPr>
            <w:r>
              <w:rPr>
                <w:rFonts w:hint="eastAsia" w:ascii="宋体" w:hAnsi="宋体" w:eastAsia="宋体" w:cs="宋体"/>
                <w:i w:val="0"/>
                <w:iCs w:val="0"/>
                <w:caps w:val="0"/>
                <w:color w:val="0F1115"/>
                <w:spacing w:val="0"/>
                <w:sz w:val="24"/>
                <w:szCs w:val="24"/>
                <w:highlight w:val="none"/>
                <w:shd w:val="clear" w:fill="FFFFFF"/>
                <w:vertAlign w:val="baseline"/>
                <w:lang w:val="en-US" w:eastAsia="zh-CN"/>
              </w:rPr>
              <w:t>新增4个标准化地级坐席许可，须与现网许可体系同源兼容</w:t>
            </w:r>
          </w:p>
        </w:tc>
        <w:tc>
          <w:tcPr>
            <w:tcW w:w="1795" w:type="dxa"/>
            <w:shd w:val="clear" w:color="auto" w:fill="FFFFFF" w:themeFill="background1"/>
            <w:vAlign w:val="top"/>
          </w:tcPr>
          <w:p w14:paraId="6651CE2B">
            <w:pPr>
              <w:pStyle w:val="8"/>
              <w:keepNext w:val="0"/>
              <w:keepLines w:val="0"/>
              <w:pageBreakBefore w:val="0"/>
              <w:widowControl/>
              <w:suppressLineNumbers w:val="0"/>
              <w:shd w:val="clear" w:fill="FFFFFF" w:themeFill="background1"/>
              <w:kinsoku/>
              <w:wordWrap/>
              <w:overflowPunct/>
              <w:topLinePunct w:val="0"/>
              <w:autoSpaceDE/>
              <w:autoSpaceDN/>
              <w:bidi w:val="0"/>
              <w:adjustRightInd/>
              <w:snapToGrid/>
              <w:spacing w:beforeAutospacing="0" w:afterAutospacing="0" w:line="360" w:lineRule="auto"/>
              <w:ind w:right="0"/>
              <w:jc w:val="center"/>
              <w:textAlignment w:val="auto"/>
              <w:rPr>
                <w:rFonts w:hint="eastAsia" w:ascii="宋体" w:hAnsi="宋体" w:eastAsia="宋体" w:cs="宋体"/>
                <w:i w:val="0"/>
                <w:iCs w:val="0"/>
                <w:caps w:val="0"/>
                <w:color w:val="0F1115"/>
                <w:spacing w:val="0"/>
                <w:sz w:val="24"/>
                <w:szCs w:val="24"/>
                <w:highlight w:val="none"/>
                <w:shd w:val="clear" w:fill="FFFFFF"/>
                <w:vertAlign w:val="baseline"/>
                <w:lang w:val="en-US" w:eastAsia="zh-CN"/>
              </w:rPr>
            </w:pPr>
          </w:p>
        </w:tc>
      </w:tr>
      <w:tr w14:paraId="42627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shd w:val="clear" w:color="auto" w:fill="FFFFFF" w:themeFill="background1"/>
            <w:vAlign w:val="top"/>
          </w:tcPr>
          <w:p w14:paraId="64054567">
            <w:pPr>
              <w:pStyle w:val="8"/>
              <w:keepNext w:val="0"/>
              <w:keepLines w:val="0"/>
              <w:pageBreakBefore w:val="0"/>
              <w:widowControl/>
              <w:suppressLineNumbers w:val="0"/>
              <w:shd w:val="clear" w:fill="FFFFFF" w:themeFill="background1"/>
              <w:kinsoku/>
              <w:wordWrap/>
              <w:overflowPunct/>
              <w:topLinePunct w:val="0"/>
              <w:autoSpaceDE/>
              <w:autoSpaceDN/>
              <w:bidi w:val="0"/>
              <w:adjustRightInd/>
              <w:snapToGrid/>
              <w:spacing w:beforeAutospacing="0" w:afterAutospacing="0" w:line="360" w:lineRule="auto"/>
              <w:ind w:right="0"/>
              <w:jc w:val="center"/>
              <w:textAlignment w:val="auto"/>
              <w:rPr>
                <w:rFonts w:hint="eastAsia" w:ascii="宋体" w:hAnsi="宋体" w:eastAsia="宋体" w:cs="宋体"/>
                <w:i w:val="0"/>
                <w:iCs w:val="0"/>
                <w:caps w:val="0"/>
                <w:color w:val="0F1115"/>
                <w:spacing w:val="0"/>
                <w:sz w:val="24"/>
                <w:szCs w:val="24"/>
                <w:highlight w:val="none"/>
                <w:shd w:val="clear" w:fill="FFFFFF"/>
                <w:vertAlign w:val="baseline"/>
                <w:lang w:val="en-US" w:eastAsia="zh-CN"/>
              </w:rPr>
            </w:pPr>
            <w:r>
              <w:rPr>
                <w:rFonts w:hint="eastAsia" w:ascii="宋体" w:hAnsi="宋体" w:eastAsia="宋体" w:cs="宋体"/>
                <w:i w:val="0"/>
                <w:iCs w:val="0"/>
                <w:caps w:val="0"/>
                <w:color w:val="0F1115"/>
                <w:spacing w:val="0"/>
                <w:sz w:val="24"/>
                <w:szCs w:val="24"/>
                <w:highlight w:val="none"/>
                <w:shd w:val="clear" w:fill="FFFFFF"/>
                <w:vertAlign w:val="baseline"/>
                <w:lang w:val="en-US" w:eastAsia="zh-CN"/>
              </w:rPr>
              <w:t>3</w:t>
            </w:r>
          </w:p>
        </w:tc>
        <w:tc>
          <w:tcPr>
            <w:tcW w:w="2419" w:type="dxa"/>
            <w:shd w:val="clear" w:color="auto" w:fill="FFFFFF" w:themeFill="background1"/>
            <w:vAlign w:val="top"/>
          </w:tcPr>
          <w:p w14:paraId="496F355A">
            <w:pPr>
              <w:pStyle w:val="8"/>
              <w:keepNext w:val="0"/>
              <w:keepLines w:val="0"/>
              <w:pageBreakBefore w:val="0"/>
              <w:widowControl/>
              <w:suppressLineNumbers w:val="0"/>
              <w:shd w:val="clear" w:fill="FFFFFF" w:themeFill="background1"/>
              <w:kinsoku/>
              <w:wordWrap/>
              <w:overflowPunct/>
              <w:topLinePunct w:val="0"/>
              <w:autoSpaceDE/>
              <w:autoSpaceDN/>
              <w:bidi w:val="0"/>
              <w:adjustRightInd/>
              <w:snapToGrid/>
              <w:spacing w:beforeAutospacing="0" w:afterAutospacing="0" w:line="360" w:lineRule="auto"/>
              <w:ind w:right="0"/>
              <w:jc w:val="center"/>
              <w:textAlignment w:val="auto"/>
              <w:rPr>
                <w:rFonts w:hint="eastAsia" w:ascii="宋体" w:hAnsi="宋体" w:eastAsia="宋体" w:cs="宋体"/>
                <w:i w:val="0"/>
                <w:iCs w:val="0"/>
                <w:caps w:val="0"/>
                <w:color w:val="0F1115"/>
                <w:spacing w:val="0"/>
                <w:sz w:val="24"/>
                <w:szCs w:val="24"/>
                <w:highlight w:val="none"/>
                <w:shd w:val="clear" w:fill="FFFFFF"/>
                <w:vertAlign w:val="baseline"/>
                <w:lang w:val="en-US" w:eastAsia="zh-CN"/>
              </w:rPr>
            </w:pPr>
            <w:r>
              <w:rPr>
                <w:rFonts w:hint="eastAsia" w:ascii="宋体" w:hAnsi="宋体" w:eastAsia="宋体" w:cs="宋体"/>
                <w:i w:val="0"/>
                <w:iCs w:val="0"/>
                <w:caps w:val="0"/>
                <w:color w:val="0F1115"/>
                <w:spacing w:val="0"/>
                <w:sz w:val="24"/>
                <w:szCs w:val="24"/>
                <w:highlight w:val="none"/>
                <w:shd w:val="clear" w:fill="FFFFFF"/>
                <w:vertAlign w:val="baseline"/>
                <w:lang w:val="en-US" w:eastAsia="zh-CN"/>
              </w:rPr>
              <w:t>项目整体实施服务</w:t>
            </w:r>
          </w:p>
        </w:tc>
        <w:tc>
          <w:tcPr>
            <w:tcW w:w="3444" w:type="dxa"/>
            <w:shd w:val="clear" w:color="auto" w:fill="FFFFFF" w:themeFill="background1"/>
            <w:vAlign w:val="top"/>
          </w:tcPr>
          <w:p w14:paraId="2A28514A">
            <w:pPr>
              <w:pStyle w:val="8"/>
              <w:keepNext w:val="0"/>
              <w:keepLines w:val="0"/>
              <w:pageBreakBefore w:val="0"/>
              <w:widowControl/>
              <w:suppressLineNumbers w:val="0"/>
              <w:shd w:val="clear" w:fill="FFFFFF" w:themeFill="background1"/>
              <w:kinsoku/>
              <w:wordWrap/>
              <w:overflowPunct/>
              <w:topLinePunct w:val="0"/>
              <w:autoSpaceDE/>
              <w:autoSpaceDN/>
              <w:bidi w:val="0"/>
              <w:adjustRightInd/>
              <w:snapToGrid/>
              <w:spacing w:beforeAutospacing="0" w:afterAutospacing="0" w:line="360" w:lineRule="auto"/>
              <w:ind w:right="0"/>
              <w:jc w:val="center"/>
              <w:textAlignment w:val="auto"/>
              <w:rPr>
                <w:rFonts w:hint="eastAsia" w:ascii="宋体" w:hAnsi="宋体" w:eastAsia="宋体" w:cs="宋体"/>
                <w:i w:val="0"/>
                <w:iCs w:val="0"/>
                <w:caps w:val="0"/>
                <w:color w:val="0F1115"/>
                <w:spacing w:val="0"/>
                <w:sz w:val="24"/>
                <w:szCs w:val="24"/>
                <w:highlight w:val="none"/>
                <w:shd w:val="clear" w:fill="FFFFFF"/>
                <w:vertAlign w:val="baseline"/>
                <w:lang w:val="en-US" w:eastAsia="zh-CN"/>
              </w:rPr>
            </w:pPr>
            <w:r>
              <w:rPr>
                <w:rFonts w:hint="eastAsia" w:ascii="宋体" w:hAnsi="宋体" w:eastAsia="宋体" w:cs="宋体"/>
                <w:i w:val="0"/>
                <w:iCs w:val="0"/>
                <w:caps w:val="0"/>
                <w:color w:val="0F1115"/>
                <w:spacing w:val="0"/>
                <w:sz w:val="24"/>
                <w:szCs w:val="24"/>
                <w:highlight w:val="none"/>
                <w:shd w:val="clear" w:fill="FFFFFF"/>
                <w:vertAlign w:val="baseline"/>
                <w:lang w:val="en-US" w:eastAsia="zh-CN"/>
              </w:rPr>
              <w:t>全流程部署、联调、培训、迁移等配套服务</w:t>
            </w:r>
          </w:p>
        </w:tc>
        <w:tc>
          <w:tcPr>
            <w:tcW w:w="1795" w:type="dxa"/>
            <w:shd w:val="clear" w:color="auto" w:fill="FFFFFF" w:themeFill="background1"/>
            <w:vAlign w:val="top"/>
          </w:tcPr>
          <w:p w14:paraId="681E56F6">
            <w:pPr>
              <w:pStyle w:val="8"/>
              <w:keepNext w:val="0"/>
              <w:keepLines w:val="0"/>
              <w:pageBreakBefore w:val="0"/>
              <w:widowControl/>
              <w:suppressLineNumbers w:val="0"/>
              <w:shd w:val="clear" w:fill="FFFFFF" w:themeFill="background1"/>
              <w:kinsoku/>
              <w:wordWrap/>
              <w:overflowPunct/>
              <w:topLinePunct w:val="0"/>
              <w:autoSpaceDE/>
              <w:autoSpaceDN/>
              <w:bidi w:val="0"/>
              <w:adjustRightInd/>
              <w:snapToGrid/>
              <w:spacing w:beforeAutospacing="0" w:afterAutospacing="0" w:line="360" w:lineRule="auto"/>
              <w:ind w:right="0"/>
              <w:jc w:val="center"/>
              <w:textAlignment w:val="auto"/>
              <w:rPr>
                <w:rFonts w:hint="eastAsia" w:ascii="宋体" w:hAnsi="宋体" w:eastAsia="宋体" w:cs="宋体"/>
                <w:i w:val="0"/>
                <w:iCs w:val="0"/>
                <w:caps w:val="0"/>
                <w:color w:val="0F1115"/>
                <w:spacing w:val="0"/>
                <w:sz w:val="24"/>
                <w:szCs w:val="24"/>
                <w:highlight w:val="none"/>
                <w:shd w:val="clear" w:fill="FFFFFF"/>
                <w:vertAlign w:val="baseline"/>
                <w:lang w:val="en-US" w:eastAsia="zh-CN"/>
              </w:rPr>
            </w:pPr>
          </w:p>
        </w:tc>
      </w:tr>
    </w:tbl>
    <w:p w14:paraId="3BD3441E">
      <w:pPr>
        <w:pStyle w:val="2"/>
        <w:pageBreakBefore w:val="0"/>
        <w:shd w:val="clear" w:fill="FFFFFF" w:themeFill="background1"/>
        <w:kinsoku/>
        <w:wordWrap/>
        <w:overflowPunct/>
        <w:topLinePunct w:val="0"/>
        <w:bidi w:val="0"/>
        <w:adjustRightInd/>
        <w:snapToGrid/>
        <w:spacing w:line="360" w:lineRule="auto"/>
        <w:ind w:left="432" w:leftChars="0" w:hanging="432" w:firstLineChars="0"/>
        <w:textAlignment w:val="auto"/>
        <w:rPr>
          <w:rFonts w:hint="eastAsia" w:ascii="宋体" w:hAnsi="宋体" w:eastAsia="宋体" w:cs="宋体"/>
          <w:b/>
          <w:sz w:val="24"/>
          <w:szCs w:val="24"/>
          <w:highlight w:val="none"/>
          <w:lang w:val="en-US" w:eastAsia="zh-CN"/>
        </w:rPr>
      </w:pPr>
      <w:r>
        <w:rPr>
          <w:rFonts w:hint="eastAsia" w:ascii="宋体" w:hAnsi="宋体" w:eastAsia="宋体" w:cs="宋体"/>
          <w:b/>
          <w:sz w:val="24"/>
          <w:szCs w:val="24"/>
          <w:highlight w:val="none"/>
          <w:lang w:val="en-US" w:eastAsia="zh-CN"/>
        </w:rPr>
        <w:t>技术要求</w:t>
      </w:r>
    </w:p>
    <w:p w14:paraId="2C8C3FE0">
      <w:pPr>
        <w:pStyle w:val="3"/>
        <w:pageBreakBefore w:val="0"/>
        <w:shd w:val="clear"/>
        <w:kinsoku/>
        <w:wordWrap/>
        <w:overflowPunct/>
        <w:topLinePunct w:val="0"/>
        <w:bidi w:val="0"/>
        <w:adjustRightInd/>
        <w:snapToGrid/>
        <w:spacing w:line="360" w:lineRule="auto"/>
        <w:ind w:left="575" w:leftChars="0" w:hanging="575"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总体兼容性要求：</w:t>
      </w:r>
    </w:p>
    <w:p w14:paraId="568F253B">
      <w:pPr>
        <w:keepNext w:val="0"/>
        <w:keepLines w:val="0"/>
        <w:pageBreakBefore w:val="0"/>
        <w:widowControl/>
        <w:suppressLineNumbers w:val="0"/>
        <w:shd w:val="clea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i w:val="0"/>
          <w:iCs w:val="0"/>
          <w:caps w:val="0"/>
          <w:color w:val="0F1115"/>
          <w:spacing w:val="0"/>
          <w:kern w:val="0"/>
          <w:sz w:val="24"/>
          <w:szCs w:val="24"/>
          <w:highlight w:val="none"/>
          <w:shd w:val="clear"/>
          <w:lang w:val="en-US" w:eastAsia="zh-CN" w:bidi="ar"/>
        </w:rPr>
      </w:pPr>
      <w:r>
        <w:rPr>
          <w:rFonts w:hint="eastAsia" w:ascii="宋体" w:hAnsi="宋体" w:eastAsia="宋体" w:cs="宋体"/>
          <w:b w:val="0"/>
          <w:bCs w:val="0"/>
          <w:i w:val="0"/>
          <w:iCs w:val="0"/>
          <w:caps w:val="0"/>
          <w:color w:val="0F1115"/>
          <w:spacing w:val="0"/>
          <w:kern w:val="0"/>
          <w:sz w:val="24"/>
          <w:szCs w:val="24"/>
          <w:highlight w:val="none"/>
          <w:shd w:val="clear"/>
          <w:lang w:val="en-US" w:eastAsia="zh-CN" w:bidi="ar"/>
        </w:rPr>
        <w:t>▲现</w:t>
      </w:r>
      <w:r>
        <w:rPr>
          <w:rFonts w:hint="eastAsia" w:ascii="宋体" w:hAnsi="宋体" w:eastAsia="宋体" w:cs="宋体"/>
          <w:b w:val="0"/>
          <w:bCs w:val="0"/>
          <w:i w:val="0"/>
          <w:iCs w:val="0"/>
          <w:caps w:val="0"/>
          <w:color w:val="0F1115"/>
          <w:spacing w:val="0"/>
          <w:kern w:val="0"/>
          <w:sz w:val="24"/>
          <w:szCs w:val="24"/>
          <w:highlight w:val="none"/>
          <w:shd w:val="clear" w:fill="FFFFFF"/>
          <w:lang w:val="en-US" w:eastAsia="zh-CN" w:bidi="ar"/>
        </w:rPr>
        <w:t>网架构适配：投标人须基于现网心理援助热线系统的技术架构进行升级改造，确保升级后系统与现网底层平台同源兼容，</w:t>
      </w:r>
      <w:r>
        <w:rPr>
          <w:rFonts w:hint="eastAsia" w:ascii="宋体" w:hAnsi="宋体" w:eastAsia="宋体" w:cs="宋体"/>
          <w:b w:val="0"/>
          <w:bCs w:val="0"/>
          <w:i w:val="0"/>
          <w:iCs w:val="0"/>
          <w:caps w:val="0"/>
          <w:color w:val="0F1115"/>
          <w:spacing w:val="0"/>
          <w:kern w:val="0"/>
          <w:sz w:val="24"/>
          <w:szCs w:val="24"/>
          <w:highlight w:val="none"/>
          <w:shd w:val="clear"/>
          <w:lang w:val="en-US" w:eastAsia="zh-CN" w:bidi="ar"/>
        </w:rPr>
        <w:t>投标人须提供核心平台组件兼容性测试报告，证明升级方案可在不中断业务的前提下完成部署。测试报告须覆盖不少于50个核心业务场景。</w:t>
      </w:r>
    </w:p>
    <w:p w14:paraId="00E102AE">
      <w:pPr>
        <w:keepNext w:val="0"/>
        <w:keepLines w:val="0"/>
        <w:pageBreakBefore w:val="0"/>
        <w:widowControl/>
        <w:suppressLineNumbers w:val="0"/>
        <w:shd w:val="clea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sz w:val="24"/>
          <w:szCs w:val="24"/>
          <w:highlight w:val="none"/>
          <w:lang w:val="en-US"/>
        </w:rPr>
      </w:pPr>
      <w:r>
        <w:rPr>
          <w:rFonts w:hint="eastAsia" w:ascii="宋体" w:hAnsi="宋体" w:eastAsia="宋体" w:cs="宋体"/>
          <w:b w:val="0"/>
          <w:bCs w:val="0"/>
          <w:i w:val="0"/>
          <w:iCs w:val="0"/>
          <w:caps w:val="0"/>
          <w:color w:val="0F1115"/>
          <w:spacing w:val="0"/>
          <w:kern w:val="0"/>
          <w:sz w:val="24"/>
          <w:szCs w:val="24"/>
          <w:highlight w:val="none"/>
          <w:shd w:val="clear" w:fill="FFFFFF"/>
          <w:lang w:val="en-US" w:eastAsia="zh-CN" w:bidi="ar"/>
        </w:rPr>
        <w:t>数据库兼容：升级后系统须与现网数据库结构保持兼容，历史数据须原地升级、无缝迁移，不得因数据结构变更导致历史数据丢失或业务中断。需提供数据迁移方案。</w:t>
      </w:r>
    </w:p>
    <w:p w14:paraId="13C51B69">
      <w:pPr>
        <w:keepNext w:val="0"/>
        <w:keepLines w:val="0"/>
        <w:pageBreakBefore w:val="0"/>
        <w:widowControl/>
        <w:suppressLineNumbers w:val="0"/>
        <w:shd w:val="clea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i w:val="0"/>
          <w:iCs w:val="0"/>
          <w:caps w:val="0"/>
          <w:color w:val="0F1115"/>
          <w:spacing w:val="0"/>
          <w:kern w:val="0"/>
          <w:sz w:val="24"/>
          <w:szCs w:val="24"/>
          <w:highlight w:val="none"/>
          <w:shd w:val="clear"/>
          <w:lang w:val="en-US" w:eastAsia="zh-CN" w:bidi="ar"/>
        </w:rPr>
      </w:pPr>
      <w:r>
        <w:rPr>
          <w:rFonts w:hint="eastAsia" w:ascii="宋体" w:hAnsi="宋体" w:eastAsia="宋体" w:cs="宋体"/>
          <w:b w:val="0"/>
          <w:bCs w:val="0"/>
          <w:i w:val="0"/>
          <w:iCs w:val="0"/>
          <w:caps w:val="0"/>
          <w:color w:val="0F1115"/>
          <w:spacing w:val="0"/>
          <w:kern w:val="0"/>
          <w:sz w:val="24"/>
          <w:szCs w:val="24"/>
          <w:highlight w:val="none"/>
          <w:shd w:val="clear" w:fill="FFFFFF"/>
          <w:lang w:val="en-US" w:eastAsia="zh-CN" w:bidi="ar"/>
        </w:rPr>
        <w:t>坐席许可同</w:t>
      </w:r>
      <w:r>
        <w:rPr>
          <w:rFonts w:hint="eastAsia" w:ascii="宋体" w:hAnsi="宋体" w:eastAsia="宋体" w:cs="宋体"/>
          <w:b w:val="0"/>
          <w:bCs w:val="0"/>
          <w:i w:val="0"/>
          <w:iCs w:val="0"/>
          <w:caps w:val="0"/>
          <w:color w:val="0F1115"/>
          <w:spacing w:val="0"/>
          <w:kern w:val="0"/>
          <w:sz w:val="24"/>
          <w:szCs w:val="24"/>
          <w:highlight w:val="none"/>
          <w:shd w:val="clear"/>
          <w:lang w:val="en-US" w:eastAsia="zh-CN" w:bidi="ar"/>
        </w:rPr>
        <w:t>源：新增4个地级坐席许可须与现网许可管理体系同源兼容，统一授权、统一管理，并纳入采购人现有统一身份认证体系管理。</w:t>
      </w:r>
    </w:p>
    <w:p w14:paraId="423C0B54">
      <w:pPr>
        <w:keepNext w:val="0"/>
        <w:keepLines w:val="0"/>
        <w:pageBreakBefore w:val="0"/>
        <w:widowControl/>
        <w:suppressLineNumbers w:val="0"/>
        <w:shd w:val="clea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i w:val="0"/>
          <w:iCs w:val="0"/>
          <w:caps w:val="0"/>
          <w:color w:val="0F1115"/>
          <w:spacing w:val="0"/>
          <w:kern w:val="0"/>
          <w:sz w:val="24"/>
          <w:szCs w:val="24"/>
          <w:highlight w:val="none"/>
          <w:shd w:val="clear" w:fill="FFFFFF"/>
          <w:lang w:val="en-US" w:eastAsia="zh-CN" w:bidi="ar"/>
        </w:rPr>
      </w:pPr>
      <w:r>
        <w:rPr>
          <w:rFonts w:hint="eastAsia" w:ascii="宋体" w:hAnsi="宋体" w:eastAsia="宋体" w:cs="宋体"/>
          <w:b w:val="0"/>
          <w:bCs w:val="0"/>
          <w:i w:val="0"/>
          <w:iCs w:val="0"/>
          <w:caps w:val="0"/>
          <w:color w:val="0F1115"/>
          <w:spacing w:val="0"/>
          <w:kern w:val="0"/>
          <w:sz w:val="24"/>
          <w:szCs w:val="24"/>
          <w:highlight w:val="none"/>
          <w:shd w:val="clear" w:fill="FFFFFF"/>
          <w:lang w:val="en-US" w:eastAsia="zh-CN" w:bidi="ar"/>
        </w:rPr>
        <w:t>接口协议一致性：升级系统须沿用第三方对接所采用的通信协议（如 HTTP/HTTPS、WebSocket、SIP、CTI 中间件私有协议等）、传输方式、端口及安全机制</w:t>
      </w:r>
    </w:p>
    <w:p w14:paraId="64765DE0">
      <w:pPr>
        <w:keepNext w:val="0"/>
        <w:keepLines w:val="0"/>
        <w:pageBreakBefore w:val="0"/>
        <w:widowControl/>
        <w:suppressLineNumbers w:val="0"/>
        <w:shd w:val="clea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i w:val="0"/>
          <w:iCs w:val="0"/>
          <w:caps w:val="0"/>
          <w:color w:val="0F1115"/>
          <w:spacing w:val="0"/>
          <w:kern w:val="0"/>
          <w:sz w:val="24"/>
          <w:szCs w:val="24"/>
          <w:highlight w:val="none"/>
          <w:shd w:val="clear" w:fill="FFFFFF"/>
          <w:lang w:val="en-US" w:eastAsia="zh-CN" w:bidi="ar"/>
        </w:rPr>
      </w:pPr>
      <w:r>
        <w:rPr>
          <w:rFonts w:hint="eastAsia" w:ascii="宋体" w:hAnsi="宋体" w:eastAsia="宋体" w:cs="宋体"/>
          <w:b w:val="0"/>
          <w:bCs w:val="0"/>
          <w:i w:val="0"/>
          <w:iCs w:val="0"/>
          <w:caps w:val="0"/>
          <w:color w:val="0F1115"/>
          <w:spacing w:val="0"/>
          <w:kern w:val="0"/>
          <w:sz w:val="24"/>
          <w:szCs w:val="24"/>
          <w:highlight w:val="none"/>
          <w:shd w:val="clear" w:fill="FFFFFF"/>
          <w:lang w:val="en-US" w:eastAsia="zh-CN" w:bidi="ar"/>
        </w:rPr>
        <w:t>CTI平台继承性：话务调度、排队转接等核心CTI功能在现网CTI平台基础上进行能力扩展，确保话务调度机制平滑演进。</w:t>
      </w:r>
    </w:p>
    <w:p w14:paraId="195389E7">
      <w:pPr>
        <w:keepNext w:val="0"/>
        <w:keepLines w:val="0"/>
        <w:pageBreakBefore w:val="0"/>
        <w:widowControl/>
        <w:suppressLineNumbers w:val="0"/>
        <w:shd w:val="clea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i w:val="0"/>
          <w:iCs w:val="0"/>
          <w:caps w:val="0"/>
          <w:color w:val="0F1115"/>
          <w:spacing w:val="0"/>
          <w:kern w:val="0"/>
          <w:sz w:val="24"/>
          <w:szCs w:val="24"/>
          <w:highlight w:val="none"/>
          <w:shd w:val="clear" w:fill="FFFFFF"/>
          <w:lang w:val="en-US" w:eastAsia="zh-CN" w:bidi="ar"/>
        </w:rPr>
      </w:pPr>
      <w:r>
        <w:rPr>
          <w:rFonts w:hint="eastAsia" w:ascii="宋体" w:hAnsi="宋体" w:eastAsia="宋体" w:cs="宋体"/>
          <w:b w:val="0"/>
          <w:bCs w:val="0"/>
          <w:i w:val="0"/>
          <w:iCs w:val="0"/>
          <w:caps w:val="0"/>
          <w:color w:val="0F1115"/>
          <w:spacing w:val="0"/>
          <w:kern w:val="0"/>
          <w:sz w:val="24"/>
          <w:szCs w:val="24"/>
          <w:highlight w:val="none"/>
          <w:shd w:val="clear" w:fill="FFFFFF"/>
          <w:lang w:val="en-US" w:eastAsia="zh-CN" w:bidi="ar"/>
        </w:rPr>
        <w:t>录音系统兼容：通话录音模块须与现有录音系统兼容，确保历史录音可检索、可播放，新增录音统一归档至现网录音管理体系。</w:t>
      </w:r>
    </w:p>
    <w:p w14:paraId="34E69B63">
      <w:pPr>
        <w:keepNext w:val="0"/>
        <w:keepLines w:val="0"/>
        <w:pageBreakBefore w:val="0"/>
        <w:widowControl/>
        <w:suppressLineNumbers w:val="0"/>
        <w:shd w:val="clea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i w:val="0"/>
          <w:iCs w:val="0"/>
          <w:caps w:val="0"/>
          <w:color w:val="0F1115"/>
          <w:spacing w:val="0"/>
          <w:kern w:val="0"/>
          <w:sz w:val="24"/>
          <w:szCs w:val="24"/>
          <w:highlight w:val="none"/>
          <w:shd w:val="clear" w:fill="FFFFFF"/>
          <w:lang w:val="en-US" w:eastAsia="zh-CN" w:bidi="ar"/>
        </w:rPr>
      </w:pPr>
      <w:r>
        <w:rPr>
          <w:rFonts w:hint="eastAsia" w:ascii="宋体" w:hAnsi="宋体" w:eastAsia="宋体" w:cs="宋体"/>
          <w:b w:val="0"/>
          <w:bCs w:val="0"/>
          <w:i w:val="0"/>
          <w:iCs w:val="0"/>
          <w:caps w:val="0"/>
          <w:color w:val="0F1115"/>
          <w:spacing w:val="0"/>
          <w:kern w:val="0"/>
          <w:sz w:val="24"/>
          <w:szCs w:val="24"/>
          <w:highlight w:val="none"/>
          <w:shd w:val="clear" w:fill="FFFFFF"/>
          <w:lang w:val="en-US" w:eastAsia="zh-CN" w:bidi="ar"/>
        </w:rPr>
        <w:t>数据字典一致性：升级后的工单编码规则、字段标准须与现有数据字典保持向前兼容，确保历史工单数据与新系统无缝衔接。</w:t>
      </w:r>
    </w:p>
    <w:p w14:paraId="5627F74A">
      <w:pPr>
        <w:keepNext w:val="0"/>
        <w:keepLines w:val="0"/>
        <w:pageBreakBefore w:val="0"/>
        <w:widowControl/>
        <w:suppressLineNumbers w:val="0"/>
        <w:shd w:val="clea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z w:val="24"/>
          <w:highlight w:val="none"/>
        </w:rPr>
      </w:pPr>
      <w:r>
        <w:rPr>
          <w:rFonts w:hint="eastAsia" w:ascii="宋体" w:hAnsi="宋体" w:eastAsia="宋体" w:cs="宋体"/>
          <w:b w:val="0"/>
          <w:bCs w:val="0"/>
          <w:sz w:val="24"/>
          <w:szCs w:val="24"/>
          <w:highlight w:val="none"/>
          <w:lang w:val="en-US" w:eastAsia="zh-CN"/>
        </w:rPr>
        <w:t>▲</w:t>
      </w:r>
      <w:r>
        <w:rPr>
          <w:rFonts w:hint="eastAsia" w:ascii="宋体" w:hAnsi="宋体" w:eastAsia="宋体" w:cs="宋体"/>
          <w:b w:val="0"/>
          <w:bCs w:val="0"/>
          <w:i w:val="0"/>
          <w:iCs w:val="0"/>
          <w:caps w:val="0"/>
          <w:color w:val="0F1115"/>
          <w:spacing w:val="0"/>
          <w:kern w:val="0"/>
          <w:sz w:val="24"/>
          <w:szCs w:val="24"/>
          <w:highlight w:val="none"/>
          <w:shd w:val="clear" w:fill="FFFFFF"/>
          <w:lang w:val="en-US" w:eastAsia="zh-CN" w:bidi="ar"/>
        </w:rPr>
        <w:t>操作便捷性：</w:t>
      </w:r>
      <w:r>
        <w:rPr>
          <w:rFonts w:hint="eastAsia" w:ascii="宋体" w:hAnsi="宋体" w:cs="宋体"/>
          <w:b w:val="0"/>
          <w:bCs w:val="0"/>
          <w:color w:val="000000"/>
          <w:sz w:val="24"/>
          <w:highlight w:val="none"/>
        </w:rPr>
        <w:t>支持多种主流浏览器登录</w:t>
      </w:r>
      <w:r>
        <w:rPr>
          <w:rFonts w:ascii="宋体" w:hAnsi="宋体"/>
          <w:b w:val="0"/>
          <w:bCs w:val="0"/>
          <w:sz w:val="24"/>
          <w:highlight w:val="none"/>
        </w:rPr>
        <w:t>心理</w:t>
      </w:r>
      <w:r>
        <w:rPr>
          <w:rFonts w:ascii="宋体" w:hAnsi="宋体"/>
          <w:sz w:val="24"/>
          <w:highlight w:val="none"/>
        </w:rPr>
        <w:t>援助热线</w:t>
      </w:r>
      <w:r>
        <w:rPr>
          <w:rFonts w:hint="eastAsia" w:ascii="宋体" w:hAnsi="宋体"/>
          <w:sz w:val="24"/>
          <w:highlight w:val="none"/>
          <w:lang w:val="en-US" w:eastAsia="zh-CN"/>
        </w:rPr>
        <w:t>升级后</w:t>
      </w:r>
      <w:r>
        <w:rPr>
          <w:rFonts w:ascii="宋体" w:hAnsi="宋体"/>
          <w:sz w:val="24"/>
          <w:highlight w:val="none"/>
        </w:rPr>
        <w:t>业务模块支持chrome、edge等多种主流浏览器，无需单独安装驱动程序，咨询师通过浏览器方式登录账号，便于使用；</w:t>
      </w:r>
    </w:p>
    <w:p w14:paraId="5A1F7F1B">
      <w:pPr>
        <w:keepNext w:val="0"/>
        <w:keepLines w:val="0"/>
        <w:pageBreakBefore w:val="0"/>
        <w:widowControl/>
        <w:suppressLineNumbers w:val="0"/>
        <w:shd w:val="clear"/>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b w:val="0"/>
          <w:bCs w:val="0"/>
          <w:i w:val="0"/>
          <w:iCs w:val="0"/>
          <w:caps w:val="0"/>
          <w:color w:val="0F1115"/>
          <w:spacing w:val="0"/>
          <w:kern w:val="0"/>
          <w:sz w:val="24"/>
          <w:szCs w:val="24"/>
          <w:highlight w:val="none"/>
          <w:shd w:val="clear" w:fill="FFFFFF"/>
          <w:lang w:val="en-US" w:eastAsia="zh-CN" w:bidi="ar"/>
        </w:rPr>
      </w:pPr>
    </w:p>
    <w:p w14:paraId="394340E4">
      <w:pPr>
        <w:pStyle w:val="3"/>
        <w:pageBreakBefore w:val="0"/>
        <w:shd w:val="clear"/>
        <w:kinsoku/>
        <w:wordWrap/>
        <w:overflowPunct/>
        <w:topLinePunct w:val="0"/>
        <w:bidi w:val="0"/>
        <w:adjustRightInd/>
        <w:snapToGrid/>
        <w:spacing w:line="360" w:lineRule="auto"/>
        <w:ind w:left="575" w:leftChars="0" w:hanging="575"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功能改造服务要求</w:t>
      </w:r>
    </w:p>
    <w:p w14:paraId="6AA5D0C4">
      <w:pPr>
        <w:pStyle w:val="4"/>
        <w:pageBreakBefore w:val="0"/>
        <w:shd w:val="clear"/>
        <w:kinsoku/>
        <w:wordWrap/>
        <w:overflowPunct/>
        <w:topLinePunct w:val="0"/>
        <w:bidi w:val="0"/>
        <w:adjustRightInd/>
        <w:snapToGrid/>
        <w:spacing w:line="360" w:lineRule="auto"/>
        <w:ind w:left="720" w:leftChars="0" w:hanging="72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话务协同机制改造服务</w:t>
      </w:r>
    </w:p>
    <w:p w14:paraId="220A9F67">
      <w:pPr>
        <w:pageBreakBefore w:val="0"/>
        <w:numPr>
          <w:ilvl w:val="3"/>
          <w:numId w:val="4"/>
        </w:numPr>
        <w:shd w:val="clear"/>
        <w:kinsoku/>
        <w:wordWrap/>
        <w:overflowPunct/>
        <w:topLinePunct w:val="0"/>
        <w:bidi w:val="0"/>
        <w:adjustRightInd/>
        <w:snapToGrid/>
        <w:spacing w:line="360" w:lineRule="auto"/>
        <w:ind w:left="0" w:leftChars="0" w:firstLine="402" w:firstLineChars="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属地优先调度：与运营商配合协调进行优先分配来电至属地坐席；</w:t>
      </w:r>
    </w:p>
    <w:p w14:paraId="3B49E43C">
      <w:pPr>
        <w:pageBreakBefore w:val="0"/>
        <w:numPr>
          <w:ilvl w:val="3"/>
          <w:numId w:val="4"/>
        </w:numPr>
        <w:shd w:val="clear"/>
        <w:kinsoku/>
        <w:wordWrap/>
        <w:overflowPunct/>
        <w:topLinePunct w:val="0"/>
        <w:bidi w:val="0"/>
        <w:adjustRightInd/>
        <w:snapToGrid/>
        <w:spacing w:line="360" w:lineRule="auto"/>
        <w:ind w:left="0" w:leftChars="0" w:firstLine="402" w:firstLineChars="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市县互转：在现网本地转接能力基础上扩展跨区域转接能力；</w:t>
      </w:r>
    </w:p>
    <w:p w14:paraId="16411888">
      <w:pPr>
        <w:pageBreakBefore w:val="0"/>
        <w:numPr>
          <w:ilvl w:val="3"/>
          <w:numId w:val="4"/>
        </w:numPr>
        <w:shd w:val="clear"/>
        <w:kinsoku/>
        <w:wordWrap/>
        <w:overflowPunct/>
        <w:topLinePunct w:val="0"/>
        <w:bidi w:val="0"/>
        <w:adjustRightInd/>
        <w:snapToGrid/>
        <w:spacing w:line="360" w:lineRule="auto"/>
        <w:ind w:left="0" w:leftChars="0" w:firstLine="402" w:firstLineChars="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省级托底：在原排队机制上叠加省级托底策略，超时/遇忙转省级坐席；</w:t>
      </w:r>
    </w:p>
    <w:p w14:paraId="580DCFBF">
      <w:pPr>
        <w:pageBreakBefore w:val="0"/>
        <w:numPr>
          <w:ilvl w:val="3"/>
          <w:numId w:val="4"/>
        </w:numPr>
        <w:shd w:val="clear"/>
        <w:kinsoku/>
        <w:wordWrap/>
        <w:overflowPunct/>
        <w:topLinePunct w:val="0"/>
        <w:bidi w:val="0"/>
        <w:adjustRightInd/>
        <w:snapToGrid/>
        <w:spacing w:line="360" w:lineRule="auto"/>
        <w:ind w:left="0" w:leftChars="0" w:firstLine="402" w:firstLineChars="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▲智能忙时调度：在现网忙闲状态检测基础上扩展全省智能调度算法,</w:t>
      </w:r>
      <w:r>
        <w:rPr>
          <w:rFonts w:hint="eastAsia" w:ascii="宋体" w:hAnsi="宋体" w:cs="宋体"/>
          <w:bCs/>
          <w:sz w:val="24"/>
          <w:highlight w:val="none"/>
        </w:rPr>
        <w:t>对已配置好的智能语音导航话术流程，进行文字输入测试，可测试导航流程是否正常或异常。</w:t>
      </w:r>
    </w:p>
    <w:p w14:paraId="47003560">
      <w:pPr>
        <w:pageBreakBefore w:val="0"/>
        <w:numPr>
          <w:ilvl w:val="3"/>
          <w:numId w:val="4"/>
        </w:numPr>
        <w:shd w:val="clear"/>
        <w:kinsoku/>
        <w:wordWrap/>
        <w:overflowPunct/>
        <w:topLinePunct w:val="0"/>
        <w:bidi w:val="0"/>
        <w:adjustRightInd/>
        <w:snapToGrid/>
        <w:spacing w:line="360" w:lineRule="auto"/>
        <w:ind w:left="0" w:leftChars="0" w:firstLine="402" w:firstLineChars="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超时转接：基于现网排队超时机制进行跨区域转接能力扩展</w:t>
      </w:r>
    </w:p>
    <w:p w14:paraId="0B33950E">
      <w:pPr>
        <w:pageBreakBefore w:val="0"/>
        <w:numPr>
          <w:ilvl w:val="3"/>
          <w:numId w:val="4"/>
        </w:numPr>
        <w:shd w:val="clear"/>
        <w:kinsoku/>
        <w:wordWrap/>
        <w:overflowPunct/>
        <w:topLinePunct w:val="0"/>
        <w:bidi w:val="0"/>
        <w:adjustRightInd/>
        <w:snapToGrid/>
        <w:spacing w:line="360" w:lineRule="auto"/>
        <w:ind w:left="0" w:leftChars="0" w:firstLine="402" w:firstLineChars="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历史能力承接：升级后须完全继承现网本地的全部能力，不得有功能退化</w:t>
      </w:r>
    </w:p>
    <w:p w14:paraId="7FF5A91F">
      <w:pPr>
        <w:pStyle w:val="4"/>
        <w:pageBreakBefore w:val="0"/>
        <w:kinsoku/>
        <w:wordWrap/>
        <w:overflowPunct/>
        <w:topLinePunct w:val="0"/>
        <w:bidi w:val="0"/>
        <w:adjustRightInd/>
        <w:snapToGrid/>
        <w:spacing w:line="360" w:lineRule="auto"/>
        <w:ind w:left="720" w:leftChars="0" w:hanging="72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高危来电智能处置体系</w:t>
      </w:r>
    </w:p>
    <w:p w14:paraId="1DBE3898">
      <w:pPr>
        <w:pageBreakBefore w:val="0"/>
        <w:numPr>
          <w:ilvl w:val="3"/>
          <w:numId w:val="5"/>
        </w:numPr>
        <w:kinsoku/>
        <w:wordWrap/>
        <w:overflowPunct/>
        <w:topLinePunct w:val="0"/>
        <w:bidi w:val="0"/>
        <w:adjustRightInd/>
        <w:snapToGrid/>
        <w:spacing w:line="360" w:lineRule="auto"/>
        <w:ind w:left="0" w:leftChars="0" w:firstLine="402" w:firstLineChars="0"/>
        <w:textAlignment w:val="auto"/>
        <w:outlineLvl w:val="9"/>
        <w:rPr>
          <w:rFonts w:hint="eastAsia" w:ascii="宋体" w:hAnsi="宋体" w:eastAsia="宋体" w:cs="宋体"/>
          <w:sz w:val="24"/>
          <w:szCs w:val="24"/>
          <w:highlight w:val="none"/>
        </w:rPr>
      </w:pPr>
      <w:r>
        <w:rPr>
          <w:rFonts w:hint="eastAsia" w:ascii="宋体" w:hAnsi="宋体" w:eastAsia="宋体" w:cs="宋体"/>
          <w:b w:val="0"/>
          <w:bCs w:val="0"/>
          <w:sz w:val="24"/>
          <w:szCs w:val="24"/>
          <w:highlight w:val="none"/>
          <w:lang w:val="en-US" w:eastAsia="zh-CN"/>
        </w:rPr>
        <w:t>▲高危关键词识别：对通话内容实时进行高危关键词匹配与自动识别，通话实时语音转文字，准确率≥95%。投标人须提供识别证明材料；如正式测试报告。</w:t>
      </w:r>
    </w:p>
    <w:p w14:paraId="6F1EB2F4">
      <w:pPr>
        <w:pageBreakBefore w:val="0"/>
        <w:numPr>
          <w:ilvl w:val="3"/>
          <w:numId w:val="5"/>
        </w:numPr>
        <w:kinsoku/>
        <w:wordWrap/>
        <w:overflowPunct/>
        <w:topLinePunct w:val="0"/>
        <w:bidi w:val="0"/>
        <w:adjustRightInd/>
        <w:snapToGrid/>
        <w:spacing w:line="360" w:lineRule="auto"/>
        <w:ind w:left="0" w:leftChars="0" w:firstLine="402" w:firstLineChars="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情绪识别与风险预警：覆盖焦虑、抑郁、愤怒、绝望、惊恐、自伤 / 自杀倾向等核心情绪识别，高危风险实时弹窗提示，自动推送干预话术与处理流程。要求问答语义识别准确率≥95%，投标人须提供识别证明材料：如正式测试报告。</w:t>
      </w:r>
    </w:p>
    <w:p w14:paraId="141D2C79">
      <w:pPr>
        <w:pageBreakBefore w:val="0"/>
        <w:numPr>
          <w:ilvl w:val="3"/>
          <w:numId w:val="5"/>
        </w:numPr>
        <w:kinsoku/>
        <w:wordWrap/>
        <w:overflowPunct/>
        <w:topLinePunct w:val="0"/>
        <w:bidi w:val="0"/>
        <w:adjustRightInd/>
        <w:snapToGrid/>
        <w:spacing w:line="360" w:lineRule="auto"/>
        <w:ind w:left="0" w:leftChars="0" w:firstLine="402" w:firstLineChars="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全省空闲坐席调度：高危来电时智能检索并调度全省空闲坐席优先接听</w:t>
      </w:r>
    </w:p>
    <w:p w14:paraId="755B4904">
      <w:pPr>
        <w:pageBreakBefore w:val="0"/>
        <w:numPr>
          <w:ilvl w:val="3"/>
          <w:numId w:val="5"/>
        </w:numPr>
        <w:kinsoku/>
        <w:wordWrap/>
        <w:overflowPunct/>
        <w:topLinePunct w:val="0"/>
        <w:bidi w:val="0"/>
        <w:adjustRightInd/>
        <w:snapToGrid/>
        <w:spacing w:line="360" w:lineRule="auto"/>
        <w:ind w:left="0" w:leftChars="0" w:firstLine="402" w:firstLineChars="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未接通高危来电回拨：对高危来电未接通时自动发起回拨，确保不漏接</w:t>
      </w:r>
    </w:p>
    <w:p w14:paraId="5DFF3913">
      <w:pPr>
        <w:pStyle w:val="4"/>
        <w:pageBreakBefore w:val="0"/>
        <w:kinsoku/>
        <w:wordWrap/>
        <w:overflowPunct/>
        <w:topLinePunct w:val="0"/>
        <w:bidi w:val="0"/>
        <w:adjustRightInd/>
        <w:snapToGrid/>
        <w:spacing w:line="360" w:lineRule="auto"/>
        <w:ind w:left="720" w:leftChars="0" w:hanging="72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全省统一标准化体系改造服务</w:t>
      </w:r>
    </w:p>
    <w:p w14:paraId="0D9A0AFE">
      <w:pPr>
        <w:pageBreakBefore w:val="0"/>
        <w:numPr>
          <w:ilvl w:val="3"/>
          <w:numId w:val="6"/>
        </w:numPr>
        <w:kinsoku/>
        <w:wordWrap/>
        <w:overflowPunct/>
        <w:topLinePunct w:val="0"/>
        <w:bidi w:val="0"/>
        <w:adjustRightInd/>
        <w:snapToGrid/>
        <w:spacing w:line="360" w:lineRule="auto"/>
        <w:ind w:left="0" w:leftChars="0" w:firstLine="402" w:firstLineChars="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改造统一工单编码：建立覆盖省、市、县三级的全省统一工单编码规则</w:t>
      </w:r>
    </w:p>
    <w:p w14:paraId="6CBF913C">
      <w:pPr>
        <w:pageBreakBefore w:val="0"/>
        <w:numPr>
          <w:ilvl w:val="3"/>
          <w:numId w:val="6"/>
        </w:numPr>
        <w:kinsoku/>
        <w:wordWrap/>
        <w:overflowPunct/>
        <w:topLinePunct w:val="0"/>
        <w:bidi w:val="0"/>
        <w:adjustRightInd/>
        <w:snapToGrid/>
        <w:spacing w:line="360" w:lineRule="auto"/>
        <w:ind w:left="0" w:leftChars="0" w:firstLine="402" w:firstLineChars="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改造统一字段标准：建立全省统一工单字段标准，确保数据规范一致</w:t>
      </w:r>
    </w:p>
    <w:p w14:paraId="23205BDB">
      <w:pPr>
        <w:pageBreakBefore w:val="0"/>
        <w:numPr>
          <w:ilvl w:val="3"/>
          <w:numId w:val="6"/>
        </w:numPr>
        <w:kinsoku/>
        <w:wordWrap/>
        <w:overflowPunct/>
        <w:topLinePunct w:val="0"/>
        <w:bidi w:val="0"/>
        <w:adjustRightInd/>
        <w:snapToGrid/>
        <w:spacing w:line="360" w:lineRule="auto"/>
        <w:ind w:left="0" w:leftChars="0" w:firstLine="402" w:firstLineChars="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通话数据自动采集：实现通话全量数据自动采集，无需人工录入</w:t>
      </w:r>
    </w:p>
    <w:p w14:paraId="1FFD2DEA">
      <w:pPr>
        <w:pageBreakBefore w:val="0"/>
        <w:numPr>
          <w:ilvl w:val="3"/>
          <w:numId w:val="6"/>
        </w:numPr>
        <w:kinsoku/>
        <w:wordWrap/>
        <w:overflowPunct/>
        <w:topLinePunct w:val="0"/>
        <w:bidi w:val="0"/>
        <w:adjustRightInd/>
        <w:snapToGrid/>
        <w:spacing w:line="360" w:lineRule="auto"/>
        <w:ind w:left="0" w:leftChars="0" w:firstLine="402" w:firstLineChars="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全程录音留存：实现通话全程自动录音，统一归档留存</w:t>
      </w:r>
    </w:p>
    <w:p w14:paraId="342EA70E">
      <w:pPr>
        <w:pageBreakBefore w:val="0"/>
        <w:numPr>
          <w:ilvl w:val="3"/>
          <w:numId w:val="6"/>
        </w:numPr>
        <w:kinsoku/>
        <w:wordWrap/>
        <w:overflowPunct/>
        <w:topLinePunct w:val="0"/>
        <w:bidi w:val="0"/>
        <w:adjustRightInd/>
        <w:snapToGrid/>
        <w:spacing w:line="360" w:lineRule="auto"/>
        <w:ind w:left="0" w:leftChars="0" w:firstLine="402" w:firstLineChars="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数据自动统计：实现热线数据自动统计，多维度交叉分析</w:t>
      </w:r>
    </w:p>
    <w:p w14:paraId="5413195E">
      <w:pPr>
        <w:pageBreakBefore w:val="0"/>
        <w:numPr>
          <w:ilvl w:val="3"/>
          <w:numId w:val="6"/>
        </w:numPr>
        <w:kinsoku/>
        <w:wordWrap/>
        <w:overflowPunct/>
        <w:topLinePunct w:val="0"/>
        <w:bidi w:val="0"/>
        <w:adjustRightInd/>
        <w:snapToGrid/>
        <w:spacing w:line="360" w:lineRule="auto"/>
        <w:ind w:left="0" w:leftChars="0" w:firstLine="402" w:firstLineChars="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报表一键导出：支持标准化报表一键导出，满足各级管理需要</w:t>
      </w:r>
    </w:p>
    <w:p w14:paraId="50D11B72">
      <w:pPr>
        <w:pStyle w:val="4"/>
        <w:pageBreakBefore w:val="0"/>
        <w:kinsoku/>
        <w:wordWrap/>
        <w:overflowPunct/>
        <w:topLinePunct w:val="0"/>
        <w:bidi w:val="0"/>
        <w:adjustRightInd/>
        <w:snapToGrid/>
        <w:spacing w:line="360" w:lineRule="auto"/>
        <w:ind w:left="720" w:leftChars="0" w:hanging="72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AI辅助服务能力升级</w:t>
      </w:r>
    </w:p>
    <w:p w14:paraId="29CE93F5">
      <w:pPr>
        <w:pageBreakBefore w:val="0"/>
        <w:numPr>
          <w:ilvl w:val="3"/>
          <w:numId w:val="7"/>
        </w:numPr>
        <w:kinsoku/>
        <w:wordWrap/>
        <w:overflowPunct/>
        <w:topLinePunct w:val="0"/>
        <w:bidi w:val="0"/>
        <w:adjustRightInd/>
        <w:snapToGrid/>
        <w:spacing w:line="360" w:lineRule="auto"/>
        <w:ind w:left="0" w:leftChars="0" w:firstLine="402" w:firstLineChars="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▲智能工单填充：基于通话内容AI自动生成工单关键字段，减少人工录入。投标人须提供功能演示及案例证明。</w:t>
      </w:r>
    </w:p>
    <w:p w14:paraId="746F40B6">
      <w:pPr>
        <w:pageBreakBefore w:val="0"/>
        <w:numPr>
          <w:ilvl w:val="3"/>
          <w:numId w:val="7"/>
        </w:numPr>
        <w:kinsoku/>
        <w:wordWrap/>
        <w:overflowPunct/>
        <w:topLinePunct w:val="0"/>
        <w:bidi w:val="0"/>
        <w:adjustRightInd/>
        <w:snapToGrid/>
        <w:spacing w:line="360" w:lineRule="auto"/>
        <w:ind w:left="0" w:leftChars="0" w:firstLine="402" w:firstLineChars="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 xml:space="preserve">▲AI语音质控：对所有通话录音进行AI自动质检与评分。智能质检模型设定:心理援助热线智能质检支持灵活配置各类质检算子模型，系统依托预设的心理服务业务规则与智能算法完成算子模型自定义配置。可按需启用多维度质检能力，包含关键词检索、文本相似度校验、上下文内容重复筛查等同时针对语音通话场景，实现音量能量检测、通话语速分析识别等专项质检计算，全面把控心理援助服务的沟通状态、服务质量与服务专业性须提供功能演示  </w:t>
      </w:r>
    </w:p>
    <w:p w14:paraId="538CB07B">
      <w:pPr>
        <w:pStyle w:val="4"/>
        <w:pageBreakBefore w:val="0"/>
        <w:kinsoku/>
        <w:wordWrap/>
        <w:overflowPunct/>
        <w:topLinePunct w:val="0"/>
        <w:bidi w:val="0"/>
        <w:adjustRightInd/>
        <w:snapToGrid/>
        <w:spacing w:line="360" w:lineRule="auto"/>
        <w:ind w:left="720" w:leftChars="0" w:hanging="72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优化平台基础运行功能与交互体验</w:t>
      </w:r>
    </w:p>
    <w:p w14:paraId="22D3714E">
      <w:pPr>
        <w:pageBreakBefore w:val="0"/>
        <w:numPr>
          <w:ilvl w:val="3"/>
          <w:numId w:val="8"/>
        </w:numPr>
        <w:kinsoku/>
        <w:wordWrap/>
        <w:overflowPunct/>
        <w:topLinePunct w:val="0"/>
        <w:bidi w:val="0"/>
        <w:adjustRightInd/>
        <w:snapToGrid/>
        <w:spacing w:line="360" w:lineRule="auto"/>
        <w:ind w:left="0" w:leftChars="0" w:firstLine="402" w:firstLineChars="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b w:val="0"/>
          <w:bCs w:val="0"/>
          <w:sz w:val="24"/>
          <w:szCs w:val="24"/>
          <w:highlight w:val="none"/>
          <w:lang w:val="en-US" w:eastAsia="zh-CN"/>
        </w:rPr>
        <w:t>基础运行优化：优化现有界面与操作流程，提升使用便捷性和界面操作内容和统计。</w:t>
      </w:r>
    </w:p>
    <w:p w14:paraId="154CFB54">
      <w:pPr>
        <w:pStyle w:val="4"/>
        <w:pageBreakBefore w:val="0"/>
        <w:kinsoku/>
        <w:wordWrap/>
        <w:overflowPunct/>
        <w:topLinePunct w:val="0"/>
        <w:bidi w:val="0"/>
        <w:adjustRightInd/>
        <w:snapToGrid/>
        <w:spacing w:line="360" w:lineRule="auto"/>
        <w:ind w:left="720" w:leftChars="0" w:hanging="72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多租户分级架构升级优化</w:t>
      </w:r>
    </w:p>
    <w:p w14:paraId="6DD24797">
      <w:pPr>
        <w:pageBreakBefore w:val="0"/>
        <w:numPr>
          <w:ilvl w:val="3"/>
          <w:numId w:val="9"/>
        </w:numPr>
        <w:kinsoku/>
        <w:wordWrap/>
        <w:overflowPunct/>
        <w:topLinePunct w:val="0"/>
        <w:bidi w:val="0"/>
        <w:adjustRightInd/>
        <w:snapToGrid/>
        <w:spacing w:line="360" w:lineRule="auto"/>
        <w:ind w:left="0" w:leftChars="0" w:firstLine="402" w:firstLineChars="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省级统筹架构：原架构升级为省级统筹、市县独立管理的多租户架构。</w:t>
      </w:r>
    </w:p>
    <w:p w14:paraId="1F393B4F">
      <w:pPr>
        <w:pageBreakBefore w:val="0"/>
        <w:numPr>
          <w:ilvl w:val="3"/>
          <w:numId w:val="9"/>
        </w:numPr>
        <w:kinsoku/>
        <w:wordWrap/>
        <w:overflowPunct/>
        <w:topLinePunct w:val="0"/>
        <w:bidi w:val="0"/>
        <w:adjustRightInd/>
        <w:snapToGrid/>
        <w:spacing w:line="360" w:lineRule="auto"/>
        <w:ind w:left="0" w:leftChars="0" w:firstLine="402" w:firstLineChars="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分级管控：各级管理员仅可管理本级及下级租户。</w:t>
      </w:r>
    </w:p>
    <w:p w14:paraId="79DFA579">
      <w:pPr>
        <w:pageBreakBefore w:val="0"/>
        <w:numPr>
          <w:ilvl w:val="3"/>
          <w:numId w:val="9"/>
        </w:numPr>
        <w:kinsoku/>
        <w:wordWrap/>
        <w:overflowPunct/>
        <w:topLinePunct w:val="0"/>
        <w:bidi w:val="0"/>
        <w:adjustRightInd/>
        <w:snapToGrid/>
        <w:spacing w:line="360" w:lineRule="auto"/>
        <w:ind w:left="0" w:leftChars="0" w:firstLine="402" w:firstLineChars="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数据隔离：各市县数据独立存储、互不可见。</w:t>
      </w:r>
    </w:p>
    <w:p w14:paraId="6DD1CF20">
      <w:pPr>
        <w:pageBreakBefore w:val="0"/>
        <w:numPr>
          <w:ilvl w:val="3"/>
          <w:numId w:val="9"/>
        </w:numPr>
        <w:kinsoku/>
        <w:wordWrap/>
        <w:overflowPunct/>
        <w:topLinePunct w:val="0"/>
        <w:bidi w:val="0"/>
        <w:adjustRightInd/>
        <w:snapToGrid/>
        <w:spacing w:line="360" w:lineRule="auto"/>
        <w:ind w:left="0" w:leftChars="0" w:firstLine="402" w:firstLineChars="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资源互通：在数据隔离前提下实现跨区域话务资源调度互通。</w:t>
      </w:r>
    </w:p>
    <w:p w14:paraId="7B3EF3B0">
      <w:pPr>
        <w:pStyle w:val="4"/>
        <w:pageBreakBefore w:val="0"/>
        <w:kinsoku/>
        <w:wordWrap/>
        <w:overflowPunct/>
        <w:topLinePunct w:val="0"/>
        <w:bidi w:val="0"/>
        <w:adjustRightInd/>
        <w:snapToGrid/>
        <w:spacing w:line="360" w:lineRule="auto"/>
        <w:ind w:left="720" w:leftChars="0" w:hanging="72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分级权限体系优化</w:t>
      </w:r>
    </w:p>
    <w:p w14:paraId="30600511">
      <w:pPr>
        <w:pageBreakBefore w:val="0"/>
        <w:numPr>
          <w:ilvl w:val="3"/>
          <w:numId w:val="10"/>
        </w:numPr>
        <w:kinsoku/>
        <w:wordWrap/>
        <w:overflowPunct/>
        <w:topLinePunct w:val="0"/>
        <w:bidi w:val="0"/>
        <w:adjustRightInd/>
        <w:snapToGrid/>
        <w:spacing w:line="360" w:lineRule="auto"/>
        <w:ind w:left="0" w:leftChars="0" w:firstLine="402" w:firstLineChars="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三级权限划分：基于现有的权限划分规则，新增区分省级管理员、市县管理员、咨询员三级权限。</w:t>
      </w:r>
    </w:p>
    <w:p w14:paraId="0063A484">
      <w:pPr>
        <w:pageBreakBefore w:val="0"/>
        <w:numPr>
          <w:ilvl w:val="3"/>
          <w:numId w:val="10"/>
        </w:numPr>
        <w:kinsoku/>
        <w:wordWrap/>
        <w:overflowPunct/>
        <w:topLinePunct w:val="0"/>
        <w:bidi w:val="0"/>
        <w:adjustRightInd/>
        <w:snapToGrid/>
        <w:spacing w:line="360" w:lineRule="auto"/>
        <w:ind w:left="0" w:leftChars="0" w:firstLine="402" w:firstLineChars="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精准权限管控：严格区分数据查看、操作、导出三级权限</w:t>
      </w:r>
    </w:p>
    <w:p w14:paraId="550E279E">
      <w:pPr>
        <w:pageBreakBefore w:val="0"/>
        <w:numPr>
          <w:ilvl w:val="3"/>
          <w:numId w:val="10"/>
        </w:numPr>
        <w:kinsoku/>
        <w:wordWrap/>
        <w:overflowPunct/>
        <w:topLinePunct w:val="0"/>
        <w:bidi w:val="0"/>
        <w:adjustRightInd/>
        <w:snapToGrid/>
        <w:spacing w:line="360" w:lineRule="auto"/>
        <w:ind w:left="0" w:leftChars="0" w:firstLine="402" w:firstLineChars="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数据安全防线：筑牢数据安全防线，防止越权访问与数据泄漏</w:t>
      </w:r>
    </w:p>
    <w:p w14:paraId="32D7F0E2">
      <w:pPr>
        <w:pStyle w:val="4"/>
        <w:pageBreakBefore w:val="0"/>
        <w:kinsoku/>
        <w:wordWrap/>
        <w:overflowPunct/>
        <w:topLinePunct w:val="0"/>
        <w:bidi w:val="0"/>
        <w:adjustRightInd/>
        <w:snapToGrid/>
        <w:spacing w:line="360" w:lineRule="auto"/>
        <w:ind w:left="720" w:leftChars="0" w:hanging="72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全省统一工号与档案管理优化</w:t>
      </w:r>
    </w:p>
    <w:p w14:paraId="1BE512B7">
      <w:pPr>
        <w:pageBreakBefore w:val="0"/>
        <w:numPr>
          <w:ilvl w:val="3"/>
          <w:numId w:val="11"/>
        </w:numPr>
        <w:kinsoku/>
        <w:wordWrap/>
        <w:overflowPunct/>
        <w:topLinePunct w:val="0"/>
        <w:bidi w:val="0"/>
        <w:adjustRightInd/>
        <w:snapToGrid/>
        <w:spacing w:line="360" w:lineRule="auto"/>
        <w:ind w:left="0" w:leftChars="0" w:firstLine="402" w:firstLineChars="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唯一工号体系优化：优化改造现有工号体系，建立全省咨询员唯一工号体系，一人一工号，全省通用</w:t>
      </w:r>
    </w:p>
    <w:p w14:paraId="21CCA278">
      <w:pPr>
        <w:pageBreakBefore w:val="0"/>
        <w:numPr>
          <w:ilvl w:val="3"/>
          <w:numId w:val="11"/>
        </w:numPr>
        <w:kinsoku/>
        <w:wordWrap/>
        <w:overflowPunct/>
        <w:topLinePunct w:val="0"/>
        <w:bidi w:val="0"/>
        <w:adjustRightInd/>
        <w:snapToGrid/>
        <w:spacing w:line="360" w:lineRule="auto"/>
        <w:ind w:left="0" w:leftChars="0" w:firstLine="402" w:firstLineChars="0"/>
        <w:textAlignment w:val="auto"/>
        <w:outlineLvl w:val="9"/>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val="en-US" w:eastAsia="zh-CN"/>
        </w:rPr>
        <w:t>统一档案管理优化：完善全省咨询员统一档案管理，支持统一维护与查询。</w:t>
      </w:r>
    </w:p>
    <w:p w14:paraId="62E03E3E">
      <w:pPr>
        <w:pStyle w:val="4"/>
        <w:pageBreakBefore w:val="0"/>
        <w:kinsoku/>
        <w:wordWrap/>
        <w:overflowPunct/>
        <w:topLinePunct w:val="0"/>
        <w:bidi w:val="0"/>
        <w:adjustRightInd/>
        <w:snapToGrid/>
        <w:spacing w:line="360" w:lineRule="auto"/>
        <w:ind w:left="720" w:leftChars="0" w:hanging="72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省级全域数据大屏升级</w:t>
      </w:r>
    </w:p>
    <w:p w14:paraId="0AEFFAC0">
      <w:pPr>
        <w:pageBreakBefore w:val="0"/>
        <w:numPr>
          <w:ilvl w:val="3"/>
          <w:numId w:val="12"/>
        </w:numPr>
        <w:kinsoku/>
        <w:wordWrap/>
        <w:overflowPunct/>
        <w:topLinePunct w:val="0"/>
        <w:bidi w:val="0"/>
        <w:adjustRightInd/>
        <w:snapToGrid/>
        <w:spacing w:line="360" w:lineRule="auto"/>
        <w:ind w:left="0" w:leftChars="0" w:firstLine="402" w:firstLineChars="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升级现有数据大屏，保留历史数据大屏内容，新增省级端实时监控各市县坐席状态、接通率、排队量、高危来电等核心数据，支撑全省智能调度；</w:t>
      </w:r>
    </w:p>
    <w:p w14:paraId="49550866">
      <w:pPr>
        <w:pStyle w:val="4"/>
        <w:pageBreakBefore w:val="0"/>
        <w:kinsoku/>
        <w:wordWrap/>
        <w:overflowPunct/>
        <w:topLinePunct w:val="0"/>
        <w:bidi w:val="0"/>
        <w:adjustRightInd/>
        <w:snapToGrid/>
        <w:spacing w:line="360" w:lineRule="auto"/>
        <w:ind w:left="720" w:leftChars="0" w:hanging="72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分级数据管理体系优化</w:t>
      </w:r>
    </w:p>
    <w:p w14:paraId="20BBAD2B">
      <w:pPr>
        <w:pageBreakBefore w:val="0"/>
        <w:numPr>
          <w:ilvl w:val="3"/>
          <w:numId w:val="13"/>
        </w:numPr>
        <w:kinsoku/>
        <w:wordWrap/>
        <w:overflowPunct/>
        <w:topLinePunct w:val="0"/>
        <w:bidi w:val="0"/>
        <w:adjustRightInd/>
        <w:snapToGrid/>
        <w:spacing w:line="360" w:lineRule="auto"/>
        <w:ind w:left="0" w:leftChars="0" w:firstLine="402" w:firstLineChars="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历史数据优化改为市县数据独立：各市县数据独立隔离、属地管理。</w:t>
      </w:r>
    </w:p>
    <w:p w14:paraId="3A71A2F8">
      <w:pPr>
        <w:pageBreakBefore w:val="0"/>
        <w:numPr>
          <w:ilvl w:val="3"/>
          <w:numId w:val="13"/>
        </w:numPr>
        <w:kinsoku/>
        <w:wordWrap/>
        <w:overflowPunct/>
        <w:topLinePunct w:val="0"/>
        <w:bidi w:val="0"/>
        <w:adjustRightInd/>
        <w:snapToGrid/>
        <w:spacing w:line="360" w:lineRule="auto"/>
        <w:ind w:left="0" w:leftChars="0" w:firstLine="402" w:firstLineChars="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全省数据统一汇总：全省数据统一汇总，支撑省级数据分析研判。</w:t>
      </w:r>
    </w:p>
    <w:p w14:paraId="0F08B05E">
      <w:pPr>
        <w:pageBreakBefore w:val="0"/>
        <w:numPr>
          <w:ilvl w:val="3"/>
          <w:numId w:val="13"/>
        </w:numPr>
        <w:kinsoku/>
        <w:wordWrap/>
        <w:overflowPunct/>
        <w:topLinePunct w:val="0"/>
        <w:bidi w:val="0"/>
        <w:adjustRightInd/>
        <w:snapToGrid/>
        <w:spacing w:line="360" w:lineRule="auto"/>
        <w:ind w:left="0" w:leftChars="0" w:firstLine="402" w:firstLineChars="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跨区域协同支撑：支撑跨区域协同调度与省级数据分析研判。</w:t>
      </w:r>
    </w:p>
    <w:p w14:paraId="3FCB484A">
      <w:pPr>
        <w:pStyle w:val="3"/>
        <w:pageBreakBefore w:val="0"/>
        <w:kinsoku/>
        <w:wordWrap/>
        <w:overflowPunct/>
        <w:topLinePunct w:val="0"/>
        <w:bidi w:val="0"/>
        <w:adjustRightInd/>
        <w:snapToGrid/>
        <w:spacing w:line="360" w:lineRule="auto"/>
        <w:ind w:left="575" w:leftChars="0" w:hanging="575"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地级坐席许可扩容要求</w:t>
      </w:r>
    </w:p>
    <w:p w14:paraId="1E6B204A">
      <w:pPr>
        <w:pageBreakBefore w:val="0"/>
        <w:numPr>
          <w:ilvl w:val="3"/>
          <w:numId w:val="14"/>
        </w:numPr>
        <w:kinsoku/>
        <w:wordWrap/>
        <w:overflowPunct/>
        <w:topLinePunct w:val="0"/>
        <w:bidi w:val="0"/>
        <w:adjustRightInd/>
        <w:snapToGrid/>
        <w:spacing w:line="360" w:lineRule="auto"/>
        <w:ind w:left="0" w:leftChars="0" w:firstLine="402" w:firstLineChars="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新增4个地级坐席软件许可</w:t>
      </w:r>
    </w:p>
    <w:p w14:paraId="3E2576D3">
      <w:pPr>
        <w:pageBreakBefore w:val="0"/>
        <w:numPr>
          <w:ilvl w:val="3"/>
          <w:numId w:val="14"/>
        </w:numPr>
        <w:kinsoku/>
        <w:wordWrap/>
        <w:overflowPunct/>
        <w:topLinePunct w:val="0"/>
        <w:bidi w:val="0"/>
        <w:adjustRightInd/>
        <w:snapToGrid/>
        <w:spacing w:line="360" w:lineRule="auto"/>
        <w:ind w:left="0" w:leftChars="0" w:firstLine="402" w:firstLineChars="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适配要求：须适配全省统一系统架构，与省级平台无缝对接；</w:t>
      </w:r>
    </w:p>
    <w:p w14:paraId="3861F3C4">
      <w:pPr>
        <w:pageBreakBefore w:val="0"/>
        <w:numPr>
          <w:ilvl w:val="3"/>
          <w:numId w:val="14"/>
        </w:numPr>
        <w:kinsoku/>
        <w:wordWrap/>
        <w:overflowPunct/>
        <w:topLinePunct w:val="0"/>
        <w:bidi w:val="0"/>
        <w:adjustRightInd/>
        <w:snapToGrid/>
        <w:spacing w:line="360" w:lineRule="auto"/>
        <w:ind w:left="0" w:leftChars="0" w:firstLine="402" w:firstLineChars="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部署激活：完成许可部署、激活与配置扩容；有效扩充属地热线坐席服务承载能力</w:t>
      </w:r>
    </w:p>
    <w:p w14:paraId="1B7114B4">
      <w:pPr>
        <w:pStyle w:val="3"/>
        <w:pageBreakBefore w:val="0"/>
        <w:kinsoku/>
        <w:wordWrap/>
        <w:overflowPunct/>
        <w:topLinePunct w:val="0"/>
        <w:bidi w:val="0"/>
        <w:adjustRightInd/>
        <w:snapToGrid/>
        <w:spacing w:line="360" w:lineRule="auto"/>
        <w:ind w:left="575" w:leftChars="0" w:hanging="575"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技术服务要求</w:t>
      </w:r>
    </w:p>
    <w:p w14:paraId="3E18FD1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本次升级涉及在用系统底层架构迭代、存量历史数据迁移适配、省市县三级平台联动对接，对项目实施专业性、系统适配性、建设合规性要求极高。熟悉本项目原有系统运维模式、历史建设、本地硬件适配参数及省级统一运维标准的服务商，可精准把控多租户架构配置、分级权限布设、跨区域话务协同联调等核心关键环节，高效完成合规化升级落地，杜绝业务中断、数据偏差、功能不达标等问题，保障系统平稳迭代、业务持续稳定运行。</w:t>
      </w:r>
    </w:p>
    <w:p w14:paraId="7B5E24CE">
      <w:pPr>
        <w:pStyle w:val="3"/>
        <w:pageBreakBefore w:val="0"/>
        <w:kinsoku/>
        <w:wordWrap/>
        <w:overflowPunct/>
        <w:topLinePunct w:val="0"/>
        <w:bidi w:val="0"/>
        <w:adjustRightInd/>
        <w:snapToGrid/>
        <w:spacing w:line="360" w:lineRule="auto"/>
        <w:ind w:left="575" w:leftChars="0" w:hanging="575" w:firstLineChars="0"/>
        <w:jc w:val="left"/>
        <w:textAlignment w:val="auto"/>
        <w:rPr>
          <w:rFonts w:hint="eastAsia" w:ascii="宋体" w:hAnsi="宋体" w:eastAsia="宋体" w:cs="宋体"/>
          <w:sz w:val="24"/>
          <w:szCs w:val="24"/>
          <w:highlight w:val="none"/>
          <w:lang w:val="en-US" w:eastAsia="zh-CN"/>
        </w:rPr>
      </w:pPr>
      <w:r>
        <w:rPr>
          <w:rFonts w:ascii="Arial" w:hAnsi="Arial" w:eastAsia="Arial" w:cs="Arial"/>
          <w:i w:val="0"/>
          <w:iCs w:val="0"/>
          <w:caps w:val="0"/>
          <w:color w:val="333333"/>
          <w:spacing w:val="0"/>
          <w:sz w:val="24"/>
          <w:szCs w:val="24"/>
          <w:highlight w:val="none"/>
          <w:shd w:val="clear" w:fill="FFFFFF"/>
        </w:rPr>
        <w:t>★</w:t>
      </w:r>
      <w:r>
        <w:rPr>
          <w:rFonts w:hint="eastAsia" w:cs="宋体"/>
          <w:sz w:val="24"/>
          <w:szCs w:val="24"/>
          <w:highlight w:val="none"/>
          <w:lang w:val="en-US" w:eastAsia="zh-CN"/>
        </w:rPr>
        <w:t>商务</w:t>
      </w:r>
      <w:r>
        <w:rPr>
          <w:rFonts w:hint="eastAsia" w:ascii="宋体" w:hAnsi="宋体" w:eastAsia="宋体" w:cs="宋体"/>
          <w:sz w:val="24"/>
          <w:szCs w:val="24"/>
          <w:highlight w:val="none"/>
          <w:lang w:val="en-US" w:eastAsia="zh-CN"/>
        </w:rPr>
        <w:t>要求</w:t>
      </w:r>
    </w:p>
    <w:p w14:paraId="49479D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r>
        <w:rPr>
          <w:rFonts w:hint="default" w:ascii="宋体" w:hAnsi="宋体" w:eastAsia="宋体" w:cs="宋体"/>
          <w:sz w:val="24"/>
          <w:szCs w:val="24"/>
          <w:highlight w:val="none"/>
          <w:lang w:val="en-US" w:eastAsia="zh-CN"/>
        </w:rPr>
        <w:t>本项目免费运维服务期限自系统验收后3年，需覆盖本次历史功能和本次升级功能、新增许可及配套系统服务。</w:t>
      </w:r>
    </w:p>
    <w:p w14:paraId="7FC48C0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w:t>
      </w:r>
      <w:r>
        <w:rPr>
          <w:rFonts w:hint="default" w:ascii="宋体" w:hAnsi="宋体" w:eastAsia="宋体" w:cs="宋体"/>
          <w:sz w:val="24"/>
          <w:szCs w:val="24"/>
          <w:highlight w:val="none"/>
          <w:lang w:val="en-US" w:eastAsia="zh-CN"/>
        </w:rPr>
        <w:t>采购人拥有本项目所有软件、系统和平台的永久使用权，成交供应商不得以任何理由（如未缴纳维护费、注册码到期等）限制采购人使用。</w:t>
      </w:r>
    </w:p>
    <w:p w14:paraId="6B399CA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w:t>
      </w:r>
      <w:r>
        <w:rPr>
          <w:rFonts w:hint="default" w:ascii="宋体" w:hAnsi="宋体" w:eastAsia="宋体" w:cs="宋体"/>
          <w:sz w:val="24"/>
          <w:szCs w:val="24"/>
          <w:highlight w:val="none"/>
          <w:lang w:val="en-US" w:eastAsia="zh-CN"/>
        </w:rPr>
        <w:t>在免费运维期内，供应商须无条件配合采购方提取系统相关数据，包括但不限于通话录音、工单记录、坐席操作日志、统计报表、高危来电处置信息等，数据提取格式须满足采购方指定要求，不得以技术壁垒、数据量过大、接口限制等任何理由拒绝或延迟配合。数据提取操作应在采购方提出需求后48小时内启动，并在双方约定的时限内完成交付。</w:t>
      </w:r>
    </w:p>
    <w:p w14:paraId="364F7C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4.自合同签订之日起30个日历天内完成全部系统改造部署、联调对接、培训及验收工作。</w:t>
      </w:r>
    </w:p>
    <w:p w14:paraId="350616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5.支付方式：</w:t>
      </w:r>
    </w:p>
    <w:p w14:paraId="53E5305A">
      <w:pPr>
        <w:pageBreakBefore w:val="0"/>
        <w:numPr>
          <w:ilvl w:val="3"/>
          <w:numId w:val="15"/>
        </w:numPr>
        <w:kinsoku/>
        <w:wordWrap/>
        <w:overflowPunct/>
        <w:topLinePunct w:val="0"/>
        <w:bidi w:val="0"/>
        <w:adjustRightInd/>
        <w:snapToGrid/>
        <w:spacing w:line="360" w:lineRule="auto"/>
        <w:ind w:left="0" w:leftChars="0" w:firstLine="402" w:firstLineChars="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预付款：自本合同签订，甲方凭乙方开具的正式有效增值税专用发票在规定时间内向乙方支付合同金额的50%；</w:t>
      </w:r>
    </w:p>
    <w:p w14:paraId="129A5C27">
      <w:pPr>
        <w:pageBreakBefore w:val="0"/>
        <w:numPr>
          <w:ilvl w:val="3"/>
          <w:numId w:val="15"/>
        </w:numPr>
        <w:kinsoku/>
        <w:wordWrap/>
        <w:overflowPunct/>
        <w:topLinePunct w:val="0"/>
        <w:bidi w:val="0"/>
        <w:adjustRightInd/>
        <w:snapToGrid/>
        <w:spacing w:line="360" w:lineRule="auto"/>
        <w:ind w:left="0" w:leftChars="0" w:firstLine="402" w:firstLineChars="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验收款：本合同项目软件安装、调试、应用系统开发、等工作按时完成并通过预验收合格，甲方凭乙方开具的正式有效增值税专用发票向乙方支付合同金额的50%。</w:t>
      </w:r>
    </w:p>
    <w:p w14:paraId="3DD153F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p>
    <w:p w14:paraId="09C7A2D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highlight w:val="none"/>
        </w:rPr>
      </w:pPr>
      <w:r>
        <w:rPr>
          <w:rFonts w:hint="eastAsia" w:ascii="宋体" w:hAnsi="宋体" w:eastAsia="宋体" w:cs="宋体"/>
          <w:sz w:val="24"/>
          <w:szCs w:val="24"/>
          <w:highlight w:val="none"/>
          <w:lang w:val="en-US" w:eastAsia="zh-CN"/>
        </w:rPr>
        <w:t>注：带▲符号的技术参数为关键性技术指标，带★符号的技术参数为不可偏离的实质性条款参数参数，不带符号的为一般性技术指标。</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FDD1B3"/>
    <w:multiLevelType w:val="multilevel"/>
    <w:tmpl w:val="AFFDD1B3"/>
    <w:lvl w:ilvl="0" w:tentative="0">
      <w:start w:val="1"/>
      <w:numFmt w:val="chineseCounting"/>
      <w:suff w:val="nothing"/>
      <w:lvlText w:val="%1、"/>
      <w:lvlJc w:val="left"/>
      <w:pPr>
        <w:ind w:left="0" w:firstLine="400"/>
      </w:pPr>
      <w:rPr>
        <w:rFonts w:hint="eastAsia"/>
      </w:rPr>
    </w:lvl>
    <w:lvl w:ilvl="1" w:tentative="0">
      <w:start w:val="1"/>
      <w:numFmt w:val="decimal"/>
      <w:suff w:val="nothing"/>
      <w:lvlText w:val="%2．"/>
      <w:lvlJc w:val="left"/>
      <w:pPr>
        <w:ind w:left="0" w:firstLine="400"/>
      </w:pPr>
      <w:rPr>
        <w:rFonts w:hint="eastAsia"/>
      </w:rPr>
    </w:lvl>
    <w:lvl w:ilvl="2" w:tentative="0">
      <w:start w:val="1"/>
      <w:numFmt w:val="decimal"/>
      <w:suff w:val="nothing"/>
      <w:lvlText w:val="（%3）"/>
      <w:lvlJc w:val="left"/>
      <w:pPr>
        <w:ind w:left="0" w:firstLine="402"/>
      </w:pPr>
      <w:rPr>
        <w:rFonts w:hint="eastAsia"/>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low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1">
    <w:nsid w:val="BFB748A0"/>
    <w:multiLevelType w:val="multilevel"/>
    <w:tmpl w:val="BFB748A0"/>
    <w:lvl w:ilvl="0" w:tentative="0">
      <w:start w:val="1"/>
      <w:numFmt w:val="chineseCounting"/>
      <w:suff w:val="nothing"/>
      <w:lvlText w:val="%1、"/>
      <w:lvlJc w:val="left"/>
      <w:pPr>
        <w:ind w:left="0" w:firstLine="400"/>
      </w:pPr>
      <w:rPr>
        <w:rFonts w:hint="eastAsia"/>
      </w:rPr>
    </w:lvl>
    <w:lvl w:ilvl="1" w:tentative="0">
      <w:start w:val="1"/>
      <w:numFmt w:val="decimal"/>
      <w:suff w:val="nothing"/>
      <w:lvlText w:val="%2．"/>
      <w:lvlJc w:val="left"/>
      <w:pPr>
        <w:ind w:left="0" w:firstLine="400"/>
      </w:pPr>
      <w:rPr>
        <w:rFonts w:hint="eastAsia"/>
      </w:rPr>
    </w:lvl>
    <w:lvl w:ilvl="2" w:tentative="0">
      <w:start w:val="1"/>
      <w:numFmt w:val="decimal"/>
      <w:suff w:val="nothing"/>
      <w:lvlText w:val="（%3）"/>
      <w:lvlJc w:val="left"/>
      <w:pPr>
        <w:ind w:left="0" w:firstLine="402"/>
      </w:pPr>
      <w:rPr>
        <w:rFonts w:hint="eastAsia"/>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low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2">
    <w:nsid w:val="D3EE102D"/>
    <w:multiLevelType w:val="multilevel"/>
    <w:tmpl w:val="D3EE102D"/>
    <w:lvl w:ilvl="0" w:tentative="0">
      <w:start w:val="1"/>
      <w:numFmt w:val="chineseCounting"/>
      <w:suff w:val="nothing"/>
      <w:lvlText w:val="%1、"/>
      <w:lvlJc w:val="left"/>
      <w:pPr>
        <w:ind w:left="0" w:firstLine="400"/>
      </w:pPr>
      <w:rPr>
        <w:rFonts w:hint="eastAsia"/>
      </w:rPr>
    </w:lvl>
    <w:lvl w:ilvl="1" w:tentative="0">
      <w:start w:val="1"/>
      <w:numFmt w:val="decimal"/>
      <w:suff w:val="nothing"/>
      <w:lvlText w:val="%2．"/>
      <w:lvlJc w:val="left"/>
      <w:pPr>
        <w:ind w:left="0" w:firstLine="400"/>
      </w:pPr>
      <w:rPr>
        <w:rFonts w:hint="eastAsia"/>
      </w:rPr>
    </w:lvl>
    <w:lvl w:ilvl="2" w:tentative="0">
      <w:start w:val="1"/>
      <w:numFmt w:val="decimal"/>
      <w:suff w:val="nothing"/>
      <w:lvlText w:val="（%3）"/>
      <w:lvlJc w:val="left"/>
      <w:pPr>
        <w:ind w:left="0" w:firstLine="402"/>
      </w:pPr>
      <w:rPr>
        <w:rFonts w:hint="eastAsia"/>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low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3">
    <w:nsid w:val="DBBD2CD3"/>
    <w:multiLevelType w:val="singleLevel"/>
    <w:tmpl w:val="DBBD2CD3"/>
    <w:lvl w:ilvl="0" w:tentative="0">
      <w:start w:val="1"/>
      <w:numFmt w:val="decimal"/>
      <w:lvlText w:val="%1."/>
      <w:lvlJc w:val="left"/>
      <w:pPr>
        <w:ind w:left="425" w:hanging="425"/>
      </w:pPr>
      <w:rPr>
        <w:rFonts w:hint="default"/>
      </w:rPr>
    </w:lvl>
  </w:abstractNum>
  <w:abstractNum w:abstractNumId="4">
    <w:nsid w:val="DDD79603"/>
    <w:multiLevelType w:val="multilevel"/>
    <w:tmpl w:val="DDD79603"/>
    <w:lvl w:ilvl="0" w:tentative="0">
      <w:start w:val="1"/>
      <w:numFmt w:val="chineseCounting"/>
      <w:suff w:val="nothing"/>
      <w:lvlText w:val="%1、"/>
      <w:lvlJc w:val="left"/>
      <w:pPr>
        <w:ind w:left="0" w:firstLine="400"/>
      </w:pPr>
      <w:rPr>
        <w:rFonts w:hint="eastAsia"/>
      </w:rPr>
    </w:lvl>
    <w:lvl w:ilvl="1" w:tentative="0">
      <w:start w:val="1"/>
      <w:numFmt w:val="decimal"/>
      <w:suff w:val="nothing"/>
      <w:lvlText w:val="%2．"/>
      <w:lvlJc w:val="left"/>
      <w:pPr>
        <w:ind w:left="0" w:firstLine="400"/>
      </w:pPr>
      <w:rPr>
        <w:rFonts w:hint="eastAsia"/>
      </w:rPr>
    </w:lvl>
    <w:lvl w:ilvl="2" w:tentative="0">
      <w:start w:val="1"/>
      <w:numFmt w:val="decimal"/>
      <w:suff w:val="nothing"/>
      <w:lvlText w:val="（%3）"/>
      <w:lvlJc w:val="left"/>
      <w:pPr>
        <w:ind w:left="0" w:firstLine="402"/>
      </w:pPr>
      <w:rPr>
        <w:rFonts w:hint="eastAsia"/>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low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5">
    <w:nsid w:val="EE7B0C6E"/>
    <w:multiLevelType w:val="multilevel"/>
    <w:tmpl w:val="EE7B0C6E"/>
    <w:lvl w:ilvl="0" w:tentative="0">
      <w:start w:val="1"/>
      <w:numFmt w:val="chineseCounting"/>
      <w:suff w:val="nothing"/>
      <w:lvlText w:val="%1、"/>
      <w:lvlJc w:val="left"/>
      <w:pPr>
        <w:ind w:left="0" w:firstLine="400"/>
      </w:pPr>
      <w:rPr>
        <w:rFonts w:hint="eastAsia"/>
      </w:rPr>
    </w:lvl>
    <w:lvl w:ilvl="1" w:tentative="0">
      <w:start w:val="1"/>
      <w:numFmt w:val="decimal"/>
      <w:suff w:val="nothing"/>
      <w:lvlText w:val="%2．"/>
      <w:lvlJc w:val="left"/>
      <w:pPr>
        <w:ind w:left="0" w:firstLine="400"/>
      </w:pPr>
      <w:rPr>
        <w:rFonts w:hint="eastAsia"/>
      </w:rPr>
    </w:lvl>
    <w:lvl w:ilvl="2" w:tentative="0">
      <w:start w:val="1"/>
      <w:numFmt w:val="decimal"/>
      <w:suff w:val="nothing"/>
      <w:lvlText w:val="（%3）"/>
      <w:lvlJc w:val="left"/>
      <w:pPr>
        <w:ind w:left="0" w:firstLine="402"/>
      </w:pPr>
      <w:rPr>
        <w:rFonts w:hint="eastAsia"/>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low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6">
    <w:nsid w:val="F5F9BE19"/>
    <w:multiLevelType w:val="multilevel"/>
    <w:tmpl w:val="F5F9BE19"/>
    <w:lvl w:ilvl="0" w:tentative="0">
      <w:start w:val="1"/>
      <w:numFmt w:val="chineseCounting"/>
      <w:suff w:val="nothing"/>
      <w:lvlText w:val="%1、"/>
      <w:lvlJc w:val="left"/>
      <w:pPr>
        <w:ind w:left="0" w:firstLine="400"/>
      </w:pPr>
      <w:rPr>
        <w:rFonts w:hint="eastAsia"/>
      </w:rPr>
    </w:lvl>
    <w:lvl w:ilvl="1" w:tentative="0">
      <w:start w:val="1"/>
      <w:numFmt w:val="decimal"/>
      <w:suff w:val="nothing"/>
      <w:lvlText w:val="%2．"/>
      <w:lvlJc w:val="left"/>
      <w:pPr>
        <w:ind w:left="0" w:firstLine="400"/>
      </w:pPr>
      <w:rPr>
        <w:rFonts w:hint="eastAsia"/>
      </w:rPr>
    </w:lvl>
    <w:lvl w:ilvl="2" w:tentative="0">
      <w:start w:val="1"/>
      <w:numFmt w:val="decimal"/>
      <w:suff w:val="nothing"/>
      <w:lvlText w:val="（%3）"/>
      <w:lvlJc w:val="left"/>
      <w:pPr>
        <w:ind w:left="0" w:firstLine="402"/>
      </w:pPr>
      <w:rPr>
        <w:rFonts w:hint="eastAsia"/>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low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7">
    <w:nsid w:val="F6FC3C55"/>
    <w:multiLevelType w:val="multilevel"/>
    <w:tmpl w:val="F6FC3C55"/>
    <w:lvl w:ilvl="0" w:tentative="0">
      <w:start w:val="1"/>
      <w:numFmt w:val="chineseCounting"/>
      <w:suff w:val="nothing"/>
      <w:lvlText w:val="%1、"/>
      <w:lvlJc w:val="left"/>
      <w:pPr>
        <w:ind w:left="0" w:firstLine="400"/>
      </w:pPr>
      <w:rPr>
        <w:rFonts w:hint="eastAsia"/>
      </w:rPr>
    </w:lvl>
    <w:lvl w:ilvl="1" w:tentative="0">
      <w:start w:val="1"/>
      <w:numFmt w:val="decimal"/>
      <w:suff w:val="nothing"/>
      <w:lvlText w:val="%2．"/>
      <w:lvlJc w:val="left"/>
      <w:pPr>
        <w:ind w:left="0" w:firstLine="400"/>
      </w:pPr>
      <w:rPr>
        <w:rFonts w:hint="eastAsia"/>
      </w:rPr>
    </w:lvl>
    <w:lvl w:ilvl="2" w:tentative="0">
      <w:start w:val="1"/>
      <w:numFmt w:val="decimal"/>
      <w:suff w:val="nothing"/>
      <w:lvlText w:val="（%3）"/>
      <w:lvlJc w:val="left"/>
      <w:pPr>
        <w:ind w:left="0" w:firstLine="402"/>
      </w:pPr>
      <w:rPr>
        <w:rFonts w:hint="eastAsia"/>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low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8">
    <w:nsid w:val="FEB39256"/>
    <w:multiLevelType w:val="multilevel"/>
    <w:tmpl w:val="FEB39256"/>
    <w:lvl w:ilvl="0" w:tentative="0">
      <w:start w:val="1"/>
      <w:numFmt w:val="chineseCounting"/>
      <w:suff w:val="nothing"/>
      <w:lvlText w:val="%1、"/>
      <w:lvlJc w:val="left"/>
      <w:pPr>
        <w:ind w:left="0" w:firstLine="400"/>
      </w:pPr>
      <w:rPr>
        <w:rFonts w:hint="eastAsia"/>
      </w:rPr>
    </w:lvl>
    <w:lvl w:ilvl="1" w:tentative="0">
      <w:start w:val="1"/>
      <w:numFmt w:val="decimal"/>
      <w:suff w:val="nothing"/>
      <w:lvlText w:val="%2．"/>
      <w:lvlJc w:val="left"/>
      <w:pPr>
        <w:ind w:left="0" w:firstLine="400"/>
      </w:pPr>
      <w:rPr>
        <w:rFonts w:hint="eastAsia"/>
      </w:rPr>
    </w:lvl>
    <w:lvl w:ilvl="2" w:tentative="0">
      <w:start w:val="1"/>
      <w:numFmt w:val="decimal"/>
      <w:suff w:val="nothing"/>
      <w:lvlText w:val="（%3）"/>
      <w:lvlJc w:val="left"/>
      <w:pPr>
        <w:ind w:left="0" w:firstLine="402"/>
      </w:pPr>
      <w:rPr>
        <w:rFonts w:hint="eastAsia"/>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low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9">
    <w:nsid w:val="FF6B8562"/>
    <w:multiLevelType w:val="multilevel"/>
    <w:tmpl w:val="FF6B8562"/>
    <w:lvl w:ilvl="0" w:tentative="0">
      <w:start w:val="1"/>
      <w:numFmt w:val="chineseCounting"/>
      <w:suff w:val="nothing"/>
      <w:lvlText w:val="%1、"/>
      <w:lvlJc w:val="left"/>
      <w:pPr>
        <w:ind w:left="0" w:firstLine="400"/>
      </w:pPr>
      <w:rPr>
        <w:rFonts w:hint="eastAsia"/>
      </w:rPr>
    </w:lvl>
    <w:lvl w:ilvl="1" w:tentative="0">
      <w:start w:val="1"/>
      <w:numFmt w:val="decimal"/>
      <w:suff w:val="nothing"/>
      <w:lvlText w:val="%2．"/>
      <w:lvlJc w:val="left"/>
      <w:pPr>
        <w:ind w:left="0" w:firstLine="400"/>
      </w:pPr>
      <w:rPr>
        <w:rFonts w:hint="eastAsia"/>
      </w:rPr>
    </w:lvl>
    <w:lvl w:ilvl="2" w:tentative="0">
      <w:start w:val="1"/>
      <w:numFmt w:val="decimal"/>
      <w:suff w:val="nothing"/>
      <w:lvlText w:val="（%3）"/>
      <w:lvlJc w:val="left"/>
      <w:pPr>
        <w:ind w:left="0" w:firstLine="402"/>
      </w:pPr>
      <w:rPr>
        <w:rFonts w:hint="eastAsia"/>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low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10">
    <w:nsid w:val="FFC8C5BB"/>
    <w:multiLevelType w:val="multilevel"/>
    <w:tmpl w:val="FFC8C5BB"/>
    <w:lvl w:ilvl="0" w:tentative="0">
      <w:start w:val="1"/>
      <w:numFmt w:val="decimal"/>
      <w:pStyle w:val="2"/>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pStyle w:val="4"/>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11">
    <w:nsid w:val="3DFDCC39"/>
    <w:multiLevelType w:val="multilevel"/>
    <w:tmpl w:val="3DFDCC39"/>
    <w:lvl w:ilvl="0" w:tentative="0">
      <w:start w:val="1"/>
      <w:numFmt w:val="chineseCounting"/>
      <w:suff w:val="nothing"/>
      <w:lvlText w:val="%1、"/>
      <w:lvlJc w:val="left"/>
      <w:pPr>
        <w:ind w:left="0" w:firstLine="400"/>
      </w:pPr>
      <w:rPr>
        <w:rFonts w:hint="eastAsia"/>
      </w:rPr>
    </w:lvl>
    <w:lvl w:ilvl="1" w:tentative="0">
      <w:start w:val="1"/>
      <w:numFmt w:val="decimal"/>
      <w:suff w:val="nothing"/>
      <w:lvlText w:val="%2．"/>
      <w:lvlJc w:val="left"/>
      <w:pPr>
        <w:ind w:left="0" w:firstLine="400"/>
      </w:pPr>
      <w:rPr>
        <w:rFonts w:hint="eastAsia"/>
      </w:rPr>
    </w:lvl>
    <w:lvl w:ilvl="2" w:tentative="0">
      <w:start w:val="1"/>
      <w:numFmt w:val="decimal"/>
      <w:suff w:val="nothing"/>
      <w:lvlText w:val="（%3）"/>
      <w:lvlJc w:val="left"/>
      <w:pPr>
        <w:ind w:left="0" w:firstLine="402"/>
      </w:pPr>
      <w:rPr>
        <w:rFonts w:hint="eastAsia"/>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low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12">
    <w:nsid w:val="5FBC33B4"/>
    <w:multiLevelType w:val="multilevel"/>
    <w:tmpl w:val="5FBC33B4"/>
    <w:lvl w:ilvl="0" w:tentative="0">
      <w:start w:val="1"/>
      <w:numFmt w:val="chineseCounting"/>
      <w:suff w:val="nothing"/>
      <w:lvlText w:val="%1、"/>
      <w:lvlJc w:val="left"/>
      <w:pPr>
        <w:ind w:left="0" w:firstLine="400"/>
      </w:pPr>
      <w:rPr>
        <w:rFonts w:hint="eastAsia"/>
      </w:rPr>
    </w:lvl>
    <w:lvl w:ilvl="1" w:tentative="0">
      <w:start w:val="1"/>
      <w:numFmt w:val="decimal"/>
      <w:suff w:val="nothing"/>
      <w:lvlText w:val="%2．"/>
      <w:lvlJc w:val="left"/>
      <w:pPr>
        <w:ind w:left="0" w:firstLine="400"/>
      </w:pPr>
      <w:rPr>
        <w:rFonts w:hint="eastAsia"/>
      </w:rPr>
    </w:lvl>
    <w:lvl w:ilvl="2" w:tentative="0">
      <w:start w:val="1"/>
      <w:numFmt w:val="decimal"/>
      <w:suff w:val="nothing"/>
      <w:lvlText w:val="（%3）"/>
      <w:lvlJc w:val="left"/>
      <w:pPr>
        <w:ind w:left="0" w:firstLine="402"/>
      </w:pPr>
      <w:rPr>
        <w:rFonts w:hint="eastAsia"/>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low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13">
    <w:nsid w:val="7ACB12D6"/>
    <w:multiLevelType w:val="multilevel"/>
    <w:tmpl w:val="7ACB12D6"/>
    <w:lvl w:ilvl="0" w:tentative="0">
      <w:start w:val="1"/>
      <w:numFmt w:val="chineseCounting"/>
      <w:suff w:val="nothing"/>
      <w:lvlText w:val="%1、"/>
      <w:lvlJc w:val="left"/>
      <w:pPr>
        <w:ind w:left="0" w:firstLine="400"/>
      </w:pPr>
      <w:rPr>
        <w:rFonts w:hint="eastAsia"/>
      </w:rPr>
    </w:lvl>
    <w:lvl w:ilvl="1" w:tentative="0">
      <w:start w:val="1"/>
      <w:numFmt w:val="decimal"/>
      <w:suff w:val="nothing"/>
      <w:lvlText w:val="%2．"/>
      <w:lvlJc w:val="left"/>
      <w:pPr>
        <w:ind w:left="0" w:firstLine="400"/>
      </w:pPr>
      <w:rPr>
        <w:rFonts w:hint="eastAsia"/>
      </w:rPr>
    </w:lvl>
    <w:lvl w:ilvl="2" w:tentative="0">
      <w:start w:val="1"/>
      <w:numFmt w:val="decimal"/>
      <w:suff w:val="nothing"/>
      <w:lvlText w:val="（%3）"/>
      <w:lvlJc w:val="left"/>
      <w:pPr>
        <w:ind w:left="0" w:firstLine="402"/>
      </w:pPr>
      <w:rPr>
        <w:rFonts w:hint="eastAsia"/>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low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14">
    <w:nsid w:val="7ECD024C"/>
    <w:multiLevelType w:val="multilevel"/>
    <w:tmpl w:val="7ECD024C"/>
    <w:lvl w:ilvl="0" w:tentative="0">
      <w:start w:val="1"/>
      <w:numFmt w:val="chineseCounting"/>
      <w:suff w:val="nothing"/>
      <w:lvlText w:val="%1、"/>
      <w:lvlJc w:val="left"/>
      <w:pPr>
        <w:ind w:left="0" w:firstLine="400"/>
      </w:pPr>
      <w:rPr>
        <w:rFonts w:hint="eastAsia"/>
      </w:rPr>
    </w:lvl>
    <w:lvl w:ilvl="1" w:tentative="0">
      <w:start w:val="1"/>
      <w:numFmt w:val="decimal"/>
      <w:suff w:val="nothing"/>
      <w:lvlText w:val="%2．"/>
      <w:lvlJc w:val="left"/>
      <w:pPr>
        <w:ind w:left="0" w:firstLine="400"/>
      </w:pPr>
      <w:rPr>
        <w:rFonts w:hint="eastAsia"/>
      </w:rPr>
    </w:lvl>
    <w:lvl w:ilvl="2" w:tentative="0">
      <w:start w:val="1"/>
      <w:numFmt w:val="decimal"/>
      <w:suff w:val="nothing"/>
      <w:lvlText w:val="（%3）"/>
      <w:lvlJc w:val="left"/>
      <w:pPr>
        <w:ind w:left="0" w:firstLine="402"/>
      </w:pPr>
      <w:rPr>
        <w:rFonts w:hint="eastAsia"/>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low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num w:numId="1">
    <w:abstractNumId w:val="10"/>
  </w:num>
  <w:num w:numId="2">
    <w:abstractNumId w:val="8"/>
  </w:num>
  <w:num w:numId="3">
    <w:abstractNumId w:val="3"/>
  </w:num>
  <w:num w:numId="4">
    <w:abstractNumId w:val="11"/>
  </w:num>
  <w:num w:numId="5">
    <w:abstractNumId w:val="12"/>
  </w:num>
  <w:num w:numId="6">
    <w:abstractNumId w:val="4"/>
  </w:num>
  <w:num w:numId="7">
    <w:abstractNumId w:val="5"/>
  </w:num>
  <w:num w:numId="8">
    <w:abstractNumId w:val="14"/>
  </w:num>
  <w:num w:numId="9">
    <w:abstractNumId w:val="0"/>
  </w:num>
  <w:num w:numId="10">
    <w:abstractNumId w:val="9"/>
  </w:num>
  <w:num w:numId="11">
    <w:abstractNumId w:val="2"/>
  </w:num>
  <w:num w:numId="12">
    <w:abstractNumId w:val="7"/>
  </w:num>
  <w:num w:numId="13">
    <w:abstractNumId w:val="1"/>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5E7513"/>
    <w:rsid w:val="001463EA"/>
    <w:rsid w:val="07411CFE"/>
    <w:rsid w:val="09E30FC8"/>
    <w:rsid w:val="0B2A32E2"/>
    <w:rsid w:val="10175803"/>
    <w:rsid w:val="178503CB"/>
    <w:rsid w:val="188E4817"/>
    <w:rsid w:val="19B378DF"/>
    <w:rsid w:val="1F4A708F"/>
    <w:rsid w:val="22A44D81"/>
    <w:rsid w:val="22BC18AF"/>
    <w:rsid w:val="25667CDE"/>
    <w:rsid w:val="2A576706"/>
    <w:rsid w:val="2B8B331B"/>
    <w:rsid w:val="30F468A4"/>
    <w:rsid w:val="31AE3364"/>
    <w:rsid w:val="34DB4FF3"/>
    <w:rsid w:val="3BF7A427"/>
    <w:rsid w:val="3D0268A8"/>
    <w:rsid w:val="3DF76857"/>
    <w:rsid w:val="3FC33AB8"/>
    <w:rsid w:val="46345550"/>
    <w:rsid w:val="4DFC26F6"/>
    <w:rsid w:val="586B3150"/>
    <w:rsid w:val="597F7298"/>
    <w:rsid w:val="638C50BD"/>
    <w:rsid w:val="6417181C"/>
    <w:rsid w:val="67F5093A"/>
    <w:rsid w:val="69046CBA"/>
    <w:rsid w:val="6EEE3425"/>
    <w:rsid w:val="705E7513"/>
    <w:rsid w:val="7630676D"/>
    <w:rsid w:val="7A6345F4"/>
    <w:rsid w:val="7BE9091B"/>
    <w:rsid w:val="7BEC5F56"/>
    <w:rsid w:val="D7DF3C30"/>
    <w:rsid w:val="EEFF52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beforeLines="0" w:beforeAutospacing="0" w:after="330" w:afterLines="0" w:afterAutospacing="0" w:line="576" w:lineRule="auto"/>
      <w:ind w:left="432" w:hanging="432"/>
      <w:outlineLvl w:val="0"/>
    </w:pPr>
    <w:rPr>
      <w:b/>
      <w:kern w:val="44"/>
      <w:sz w:val="44"/>
    </w:rPr>
  </w:style>
  <w:style w:type="paragraph" w:styleId="3">
    <w:name w:val="heading 2"/>
    <w:basedOn w:val="1"/>
    <w:next w:val="1"/>
    <w:unhideWhenUsed/>
    <w:qFormat/>
    <w:uiPriority w:val="0"/>
    <w:pPr>
      <w:numPr>
        <w:ilvl w:val="1"/>
        <w:numId w:val="1"/>
      </w:numPr>
      <w:spacing w:before="0" w:beforeAutospacing="1" w:after="0" w:afterAutospacing="1"/>
      <w:ind w:left="575" w:hanging="575"/>
      <w:jc w:val="left"/>
      <w:outlineLvl w:val="1"/>
    </w:pPr>
    <w:rPr>
      <w:rFonts w:hint="eastAsia" w:ascii="宋体" w:hAnsi="宋体" w:eastAsia="宋体" w:cs="宋体"/>
      <w:b/>
      <w:bCs/>
      <w:kern w:val="0"/>
      <w:sz w:val="36"/>
      <w:szCs w:val="36"/>
      <w:lang w:val="en-US" w:eastAsia="zh-CN" w:bidi="ar"/>
    </w:rPr>
  </w:style>
  <w:style w:type="paragraph" w:styleId="4">
    <w:name w:val="heading 3"/>
    <w:basedOn w:val="1"/>
    <w:next w:val="1"/>
    <w:unhideWhenUsed/>
    <w:qFormat/>
    <w:uiPriority w:val="0"/>
    <w:pPr>
      <w:numPr>
        <w:ilvl w:val="2"/>
        <w:numId w:val="1"/>
      </w:numPr>
      <w:spacing w:before="0" w:beforeAutospacing="1" w:after="0" w:afterAutospacing="1"/>
      <w:ind w:left="720" w:hanging="720"/>
      <w:jc w:val="left"/>
      <w:outlineLvl w:val="2"/>
    </w:pPr>
    <w:rPr>
      <w:rFonts w:hint="eastAsia" w:ascii="宋体" w:hAnsi="宋体" w:eastAsia="宋体" w:cs="宋体"/>
      <w:b/>
      <w:bCs/>
      <w:kern w:val="0"/>
      <w:sz w:val="27"/>
      <w:szCs w:val="27"/>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next w:val="1"/>
    <w:qFormat/>
    <w:uiPriority w:val="1"/>
    <w:pPr>
      <w:autoSpaceDE w:val="0"/>
      <w:autoSpaceDN w:val="0"/>
      <w:spacing w:before="43"/>
      <w:ind w:left="118"/>
      <w:jc w:val="left"/>
    </w:pPr>
    <w:rPr>
      <w:rFonts w:ascii="宋体" w:hAnsi="宋体" w:eastAsia="宋体" w:cs="宋体"/>
      <w:kern w:val="0"/>
      <w:sz w:val="16"/>
      <w:szCs w:val="16"/>
      <w:lang w:val="zh-CN" w:bidi="zh-CN"/>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rFonts w:eastAsia="黑体"/>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3255</Words>
  <Characters>3328</Characters>
  <Lines>0</Lines>
  <Paragraphs>0</Paragraphs>
  <TotalTime>8</TotalTime>
  <ScaleCrop>false</ScaleCrop>
  <LinksUpToDate>false</LinksUpToDate>
  <CharactersWithSpaces>3334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2026-07-30T03:09:00Z</dcterms:created>
  <dc:creator>K</dc:creator>
  <cp:lastModifiedBy>鱼</cp:lastModifiedBy>
  <cp:lastPrinted>2026-08-18T06:46:00Z</cp:lastPrinted>
  <dcterms:modified xsi:type="dcterms:W3CDTF">2026-08-27T00:37:57Z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C056C78111F74607B595AA248B8C58D1_13</vt:lpwstr>
  </property>
  <property fmtid="{D5CDD505-2E9C-101B-9397-08002B2CF9AE}" pid="4" name="KSOTemplateDocerSaveRecord">
    <vt:lpwstr>eyJoZGlkIjoiYTE2NGYzMTNiZmM1ZmFiZmM0MDIzODYxNzJiNTE0ZmIiLCJ1c2VySWQiOiIzNjc0MTA2MzgifQ==</vt:lpwstr>
  </property>
</Properties>
</file>