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0D352">
      <w:pPr>
        <w:numPr>
          <w:ilvl w:val="0"/>
          <w:numId w:val="0"/>
        </w:numPr>
        <w:bidi w:val="0"/>
        <w:spacing w:line="360" w:lineRule="auto"/>
        <w:ind w:left="400" w:leftChars="0"/>
        <w:jc w:val="center"/>
        <w:rPr>
          <w:rFonts w:hint="eastAsia" w:ascii="宋体" w:hAnsi="宋体" w:eastAsia="宋体" w:cs="宋体"/>
          <w:b/>
          <w:bCs/>
          <w:kern w:val="2"/>
          <w:sz w:val="32"/>
          <w:szCs w:val="32"/>
          <w:lang w:val="en-US" w:eastAsia="en-US" w:bidi="ar-SA"/>
        </w:rPr>
      </w:pPr>
      <w:r>
        <w:rPr>
          <w:rFonts w:hint="eastAsia" w:ascii="宋体" w:hAnsi="宋体" w:eastAsia="宋体" w:cs="宋体"/>
          <w:b/>
          <w:bCs/>
          <w:kern w:val="2"/>
          <w:sz w:val="32"/>
          <w:szCs w:val="32"/>
          <w:lang w:val="en-US" w:eastAsia="zh-CN" w:bidi="ar-SA"/>
        </w:rPr>
        <w:t>海南省安宁医院12356心理援助热线系统专项升级与扩</w:t>
      </w:r>
      <w:bookmarkStart w:id="0" w:name="_GoBack"/>
      <w:bookmarkEnd w:id="0"/>
      <w:r>
        <w:rPr>
          <w:rFonts w:hint="eastAsia" w:ascii="宋体" w:hAnsi="宋体" w:eastAsia="宋体" w:cs="宋体"/>
          <w:b/>
          <w:bCs/>
          <w:kern w:val="2"/>
          <w:sz w:val="32"/>
          <w:szCs w:val="32"/>
          <w:lang w:val="en-US" w:eastAsia="zh-CN" w:bidi="ar-SA"/>
        </w:rPr>
        <w:t>容服务项目综合评分表</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184"/>
        <w:gridCol w:w="4684"/>
        <w:gridCol w:w="1222"/>
      </w:tblGrid>
      <w:tr w14:paraId="7CA7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BEDF021">
            <w:pPr>
              <w:widowControl/>
              <w:spacing w:line="360" w:lineRule="auto"/>
              <w:jc w:val="center"/>
              <w:rPr>
                <w:rFonts w:hint="eastAsia" w:ascii="宋体" w:hAnsi="宋体" w:eastAsia="宋体" w:cs="宋体"/>
                <w:b w:val="0"/>
                <w:bCs/>
                <w:color w:val="auto"/>
                <w:kern w:val="0"/>
                <w:sz w:val="24"/>
                <w:szCs w:val="24"/>
                <w:lang w:val="en-US" w:eastAsia="en-US" w:bidi="ar-SA"/>
              </w:rPr>
            </w:pPr>
            <w:r>
              <w:rPr>
                <w:rFonts w:hint="eastAsia" w:ascii="宋体" w:hAnsi="宋体" w:eastAsia="宋体" w:cs="宋体"/>
                <w:b w:val="0"/>
                <w:bCs/>
                <w:color w:val="auto"/>
                <w:kern w:val="0"/>
                <w:sz w:val="24"/>
                <w:szCs w:val="24"/>
                <w:lang w:val="en-US" w:eastAsia="en-US" w:bidi="ar-SA"/>
              </w:rPr>
              <w:t>评分项及评分标准</w:t>
            </w:r>
          </w:p>
        </w:tc>
      </w:tr>
      <w:tr w14:paraId="170F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BC598B8">
            <w:pPr>
              <w:widowControl/>
              <w:spacing w:line="360" w:lineRule="auto"/>
              <w:jc w:val="center"/>
              <w:rPr>
                <w:rFonts w:hint="eastAsia" w:ascii="宋体" w:hAnsi="宋体" w:eastAsia="宋体" w:cs="宋体"/>
                <w:b w:val="0"/>
                <w:bCs/>
                <w:color w:val="auto"/>
                <w:kern w:val="0"/>
                <w:sz w:val="24"/>
                <w:szCs w:val="24"/>
                <w:lang w:val="en-US" w:eastAsia="en-US" w:bidi="ar-SA"/>
              </w:rPr>
            </w:pPr>
            <w:r>
              <w:rPr>
                <w:rFonts w:hint="eastAsia" w:ascii="宋体" w:hAnsi="宋体" w:eastAsia="宋体" w:cs="宋体"/>
                <w:b w:val="0"/>
                <w:bCs/>
                <w:color w:val="auto"/>
                <w:kern w:val="0"/>
                <w:sz w:val="24"/>
                <w:szCs w:val="24"/>
                <w:lang w:val="en-US" w:eastAsia="en-US" w:bidi="ar-SA"/>
              </w:rPr>
              <w:t>评分项名称</w:t>
            </w:r>
          </w:p>
        </w:tc>
        <w:tc>
          <w:tcPr>
            <w:tcW w:w="11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A909381">
            <w:pPr>
              <w:widowControl/>
              <w:spacing w:line="360" w:lineRule="auto"/>
              <w:jc w:val="center"/>
              <w:rPr>
                <w:rFonts w:hint="eastAsia" w:ascii="宋体" w:hAnsi="宋体" w:eastAsia="宋体" w:cs="宋体"/>
                <w:b w:val="0"/>
                <w:bCs/>
                <w:color w:val="auto"/>
                <w:kern w:val="0"/>
                <w:sz w:val="24"/>
                <w:szCs w:val="24"/>
                <w:lang w:val="en-US" w:eastAsia="zh-CN" w:bidi="ar-SA"/>
              </w:rPr>
            </w:pPr>
            <w:r>
              <w:rPr>
                <w:rFonts w:hint="eastAsia" w:ascii="宋体" w:hAnsi="宋体" w:eastAsia="宋体" w:cs="宋体"/>
                <w:b w:val="0"/>
                <w:bCs/>
                <w:color w:val="auto"/>
                <w:kern w:val="0"/>
                <w:sz w:val="24"/>
                <w:szCs w:val="24"/>
                <w:lang w:val="en-US" w:eastAsia="zh-CN" w:bidi="ar-SA"/>
              </w:rPr>
              <w:t>评审因素</w:t>
            </w:r>
          </w:p>
        </w:tc>
        <w:tc>
          <w:tcPr>
            <w:tcW w:w="46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B84EDF3">
            <w:pPr>
              <w:widowControl/>
              <w:spacing w:line="360" w:lineRule="auto"/>
              <w:jc w:val="center"/>
              <w:rPr>
                <w:rFonts w:hint="eastAsia" w:ascii="宋体" w:hAnsi="宋体" w:eastAsia="宋体" w:cs="宋体"/>
                <w:b w:val="0"/>
                <w:bCs/>
                <w:color w:val="auto"/>
                <w:kern w:val="0"/>
                <w:sz w:val="24"/>
                <w:szCs w:val="24"/>
                <w:lang w:val="en-US" w:eastAsia="en-US" w:bidi="ar-SA"/>
              </w:rPr>
            </w:pPr>
            <w:r>
              <w:rPr>
                <w:rFonts w:hint="eastAsia" w:ascii="宋体" w:hAnsi="宋体" w:eastAsia="宋体" w:cs="宋体"/>
                <w:b w:val="0"/>
                <w:bCs/>
                <w:color w:val="auto"/>
                <w:kern w:val="0"/>
                <w:sz w:val="24"/>
                <w:szCs w:val="24"/>
                <w:lang w:val="en-US" w:eastAsia="en-US" w:bidi="ar-SA"/>
              </w:rPr>
              <w:t>评审标准</w:t>
            </w:r>
          </w:p>
        </w:tc>
        <w:tc>
          <w:tcPr>
            <w:tcW w:w="122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BB67E5E">
            <w:pPr>
              <w:widowControl/>
              <w:spacing w:line="360" w:lineRule="auto"/>
              <w:jc w:val="center"/>
              <w:rPr>
                <w:rFonts w:hint="eastAsia" w:ascii="宋体" w:hAnsi="宋体" w:eastAsia="宋体" w:cs="宋体"/>
                <w:b w:val="0"/>
                <w:bCs/>
                <w:color w:val="auto"/>
                <w:kern w:val="0"/>
                <w:sz w:val="24"/>
                <w:szCs w:val="24"/>
                <w:lang w:val="en-US" w:eastAsia="en-US" w:bidi="ar-SA"/>
              </w:rPr>
            </w:pPr>
            <w:r>
              <w:rPr>
                <w:rFonts w:hint="eastAsia" w:ascii="宋体" w:hAnsi="宋体" w:eastAsia="宋体" w:cs="宋体"/>
                <w:b w:val="0"/>
                <w:bCs/>
                <w:color w:val="auto"/>
                <w:kern w:val="0"/>
                <w:sz w:val="24"/>
                <w:szCs w:val="24"/>
                <w:lang w:val="en-US" w:eastAsia="en-US" w:bidi="ar-SA"/>
              </w:rPr>
              <w:t>得分</w:t>
            </w:r>
          </w:p>
        </w:tc>
      </w:tr>
      <w:tr w14:paraId="43B3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Merge w:val="restart"/>
            <w:tcBorders>
              <w:top w:val="single" w:color="000000" w:sz="2" w:space="0"/>
              <w:left w:val="single" w:color="000000" w:sz="2" w:space="0"/>
              <w:right w:val="single" w:color="000000" w:sz="2" w:space="0"/>
            </w:tcBorders>
            <w:noWrap/>
            <w:tcMar>
              <w:top w:w="100" w:type="dxa"/>
              <w:bottom w:w="100" w:type="dxa"/>
            </w:tcMar>
            <w:vAlign w:val="center"/>
          </w:tcPr>
          <w:p w14:paraId="3D96B8E4">
            <w:pPr>
              <w:widowControl/>
              <w:spacing w:line="360" w:lineRule="auto"/>
              <w:jc w:val="center"/>
              <w:rPr>
                <w:rFonts w:hint="eastAsia" w:ascii="宋体" w:hAnsi="宋体" w:eastAsia="宋体" w:cs="宋体"/>
                <w:b w:val="0"/>
                <w:bCs/>
                <w:color w:val="auto"/>
                <w:kern w:val="0"/>
                <w:sz w:val="24"/>
                <w:szCs w:val="24"/>
                <w:highlight w:val="none"/>
                <w:lang w:val="en-US" w:eastAsia="en-US" w:bidi="ar-SA"/>
              </w:rPr>
            </w:pPr>
            <w:r>
              <w:rPr>
                <w:rFonts w:hint="eastAsia" w:ascii="宋体" w:hAnsi="宋体" w:eastAsia="宋体" w:cs="宋体"/>
                <w:b w:val="0"/>
                <w:bCs/>
                <w:color w:val="auto"/>
                <w:kern w:val="0"/>
                <w:sz w:val="24"/>
                <w:szCs w:val="24"/>
                <w:highlight w:val="none"/>
                <w:lang w:val="en-US" w:eastAsia="zh-CN" w:bidi="ar-SA"/>
              </w:rPr>
              <w:t>技术、商务部分</w:t>
            </w:r>
          </w:p>
        </w:tc>
        <w:tc>
          <w:tcPr>
            <w:tcW w:w="11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DAC72CC">
            <w:pPr>
              <w:widowControl/>
              <w:spacing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技术要求响应</w:t>
            </w:r>
          </w:p>
        </w:tc>
        <w:tc>
          <w:tcPr>
            <w:tcW w:w="46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0F5DE95">
            <w:pPr>
              <w:keepNext w:val="0"/>
              <w:keepLines w:val="0"/>
              <w:widowControl/>
              <w:suppressLineNumbers w:val="0"/>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根据供应商对采购需求中"技术要求"的响应情况进行打分，共 36 分，其中：</w:t>
            </w:r>
            <w:r>
              <w:rPr>
                <w:rFonts w:hint="eastAsia" w:ascii="宋体" w:hAnsi="宋体" w:eastAsia="宋体" w:cs="宋体"/>
                <w:b w:val="0"/>
                <w:bCs/>
                <w:color w:val="auto"/>
                <w:kern w:val="0"/>
                <w:sz w:val="24"/>
                <w:szCs w:val="24"/>
                <w:highlight w:val="none"/>
                <w:lang w:val="en-US" w:eastAsia="zh-CN" w:bidi="ar-SA"/>
              </w:rPr>
              <w:br w:type="textWrapping"/>
            </w:r>
            <w:r>
              <w:rPr>
                <w:rFonts w:hint="eastAsia" w:ascii="宋体" w:hAnsi="宋体" w:eastAsia="宋体" w:cs="宋体"/>
                <w:b w:val="0"/>
                <w:bCs/>
                <w:color w:val="auto"/>
                <w:kern w:val="0"/>
                <w:sz w:val="24"/>
                <w:szCs w:val="24"/>
                <w:highlight w:val="none"/>
                <w:lang w:val="en-US" w:eastAsia="zh-CN" w:bidi="ar-SA"/>
              </w:rPr>
              <w:t>（1）带"▲"技术指标（共 6 条），每条满足得 3 分，满分 18 分；▲指标中要求"测试报告 / 证明材料 / 功能演示"的，未提供有效证明材料按不满足处理，不得仅凭文字响应得分；</w:t>
            </w:r>
            <w:r>
              <w:rPr>
                <w:rFonts w:hint="eastAsia" w:ascii="宋体" w:hAnsi="宋体" w:eastAsia="宋体" w:cs="宋体"/>
                <w:b w:val="0"/>
                <w:bCs/>
                <w:color w:val="auto"/>
                <w:kern w:val="0"/>
                <w:sz w:val="24"/>
                <w:szCs w:val="24"/>
                <w:highlight w:val="none"/>
                <w:lang w:val="en-US" w:eastAsia="zh-CN" w:bidi="ar-SA"/>
              </w:rPr>
              <w:br w:type="textWrapping"/>
            </w:r>
            <w:r>
              <w:rPr>
                <w:rFonts w:hint="eastAsia" w:ascii="宋体" w:hAnsi="宋体" w:eastAsia="宋体" w:cs="宋体"/>
                <w:b w:val="0"/>
                <w:bCs/>
                <w:color w:val="auto"/>
                <w:kern w:val="0"/>
                <w:sz w:val="24"/>
                <w:szCs w:val="24"/>
                <w:highlight w:val="none"/>
                <w:lang w:val="en-US" w:eastAsia="zh-CN" w:bidi="ar-SA"/>
              </w:rPr>
              <w:t>（2）不带"▲"技术指标完全满足得 18 分，具体分项及分值见下表；每项指标"完全满足得满分，部分满足或不满足得 0 分"。</w:t>
            </w:r>
          </w:p>
          <w:p w14:paraId="151432BC">
            <w:pPr>
              <w:keepNext w:val="0"/>
              <w:keepLines w:val="0"/>
              <w:widowControl/>
              <w:suppressLineNumbers w:val="0"/>
              <w:jc w:val="left"/>
              <w:rPr>
                <w:rFonts w:hint="eastAsia" w:ascii="宋体" w:hAnsi="宋体" w:eastAsia="宋体" w:cs="宋体"/>
                <w:b w:val="0"/>
                <w:bCs/>
                <w:color w:val="auto"/>
                <w:kern w:val="0"/>
                <w:sz w:val="24"/>
                <w:szCs w:val="24"/>
                <w:highlight w:val="none"/>
                <w:lang w:val="en-US" w:eastAsia="zh-CN" w:bidi="ar-SA"/>
              </w:rPr>
            </w:pPr>
          </w:p>
          <w:tbl>
            <w:tblPr>
              <w:tblStyle w:val="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240"/>
              <w:gridCol w:w="2582"/>
              <w:gridCol w:w="643"/>
            </w:tblGrid>
            <w:tr w14:paraId="0E663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6" w:hRule="atLeast"/>
                <w:tblHeader/>
              </w:trPr>
              <w:tc>
                <w:tcPr>
                  <w:tcW w:w="850" w:type="pct"/>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43CFB6CF">
                  <w:pPr>
                    <w:keepNext w:val="0"/>
                    <w:keepLines w:val="0"/>
                    <w:widowControl/>
                    <w:suppressLineNumbers w:val="0"/>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序号</w:t>
                  </w:r>
                </w:p>
              </w:tc>
              <w:tc>
                <w:tcPr>
                  <w:tcW w:w="3430" w:type="pct"/>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16FBF59F">
                  <w:pPr>
                    <w:keepNext w:val="0"/>
                    <w:keepLines w:val="0"/>
                    <w:widowControl/>
                    <w:suppressLineNumbers w:val="0"/>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指标类别 / 子项</w:t>
                  </w:r>
                </w:p>
              </w:tc>
              <w:tc>
                <w:tcPr>
                  <w:tcW w:w="718" w:type="pct"/>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426F9BCB">
                  <w:pPr>
                    <w:keepNext w:val="0"/>
                    <w:keepLines w:val="0"/>
                    <w:widowControl/>
                    <w:suppressLineNumbers w:val="0"/>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分值</w:t>
                  </w:r>
                </w:p>
              </w:tc>
            </w:tr>
            <w:tr w14:paraId="4DBD1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60"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328F6483">
                  <w:pPr>
                    <w:keepNext w:val="0"/>
                    <w:keepLines w:val="0"/>
                    <w:widowControl/>
                    <w:suppressLineNumbers w:val="0"/>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3.1</w:t>
                  </w:r>
                </w:p>
              </w:tc>
              <w:tc>
                <w:tcPr>
                  <w:tcW w:w="3062"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3025AF07">
                  <w:pPr>
                    <w:keepNext w:val="0"/>
                    <w:keepLines w:val="0"/>
                    <w:widowControl/>
                    <w:suppressLineNumbers w:val="0"/>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sz w:val="24"/>
                      <w:szCs w:val="24"/>
                      <w:highlight w:val="none"/>
                      <w:lang w:val="en-US" w:eastAsia="zh-CN"/>
                    </w:rPr>
                    <w:t>总体兼容性要求</w:t>
                  </w:r>
                </w:p>
              </w:tc>
              <w:tc>
                <w:tcPr>
                  <w:tcW w:w="718" w:type="pct"/>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58956561">
                  <w:pPr>
                    <w:keepNext w:val="0"/>
                    <w:keepLines w:val="0"/>
                    <w:widowControl/>
                    <w:suppressLineNumbers w:val="0"/>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4</w:t>
                  </w:r>
                </w:p>
              </w:tc>
            </w:tr>
            <w:tr w14:paraId="58403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60"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65BD0AAA">
                  <w:pPr>
                    <w:keepNext w:val="0"/>
                    <w:keepLines w:val="0"/>
                    <w:widowControl/>
                    <w:suppressLineNumbers w:val="0"/>
                    <w:jc w:val="left"/>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lang w:val="en-US" w:eastAsia="zh-CN"/>
                    </w:rPr>
                    <w:t>3.2.1</w:t>
                  </w:r>
                </w:p>
              </w:tc>
              <w:tc>
                <w:tcPr>
                  <w:tcW w:w="3062"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45785D6A">
                  <w:pPr>
                    <w:pStyle w:val="2"/>
                    <w:numPr>
                      <w:ilvl w:val="2"/>
                      <w:numId w:val="0"/>
                    </w:numPr>
                    <w:shd w:val="clear"/>
                    <w:bidi w:val="0"/>
                    <w:spacing w:line="360" w:lineRule="auto"/>
                    <w:ind w:left="0" w:leftChars="0" w:firstLine="0" w:firstLineChars="0"/>
                    <w:rPr>
                      <w:rFonts w:hint="eastAsia" w:ascii="宋体" w:hAnsi="宋体" w:eastAsia="宋体" w:cs="宋体"/>
                      <w:i w:val="0"/>
                      <w:iCs w:val="0"/>
                      <w:caps w:val="0"/>
                      <w:color w:val="222222"/>
                      <w:spacing w:val="0"/>
                      <w:sz w:val="24"/>
                      <w:szCs w:val="24"/>
                    </w:rPr>
                  </w:pPr>
                  <w:r>
                    <w:rPr>
                      <w:rFonts w:hint="eastAsia" w:ascii="宋体" w:hAnsi="宋体" w:eastAsia="宋体" w:cs="宋体"/>
                      <w:b w:val="0"/>
                      <w:bCs w:val="0"/>
                      <w:kern w:val="2"/>
                      <w:sz w:val="24"/>
                      <w:szCs w:val="24"/>
                      <w:highlight w:val="none"/>
                      <w:lang w:val="en-US" w:eastAsia="zh-CN" w:bidi="ar-SA"/>
                    </w:rPr>
                    <w:t>话务协同机制改造服务</w:t>
                  </w:r>
                </w:p>
              </w:tc>
              <w:tc>
                <w:tcPr>
                  <w:tcW w:w="718" w:type="pct"/>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3CBEFFAA">
                  <w:pPr>
                    <w:keepNext w:val="0"/>
                    <w:keepLines w:val="0"/>
                    <w:widowControl/>
                    <w:suppressLineNumbers w:val="0"/>
                    <w:jc w:val="center"/>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kern w:val="0"/>
                      <w:sz w:val="24"/>
                      <w:szCs w:val="24"/>
                      <w:lang w:val="en-US" w:eastAsia="zh-CN" w:bidi="ar"/>
                    </w:rPr>
                    <w:t>5</w:t>
                  </w:r>
                </w:p>
              </w:tc>
            </w:tr>
            <w:tr w14:paraId="3BEBD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60"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00706233">
                  <w:pPr>
                    <w:keepNext w:val="0"/>
                    <w:keepLines w:val="0"/>
                    <w:widowControl/>
                    <w:suppressLineNumbers w:val="0"/>
                    <w:jc w:val="left"/>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kern w:val="0"/>
                      <w:sz w:val="24"/>
                      <w:szCs w:val="24"/>
                      <w:lang w:val="en-US" w:eastAsia="zh-CN" w:bidi="ar"/>
                    </w:rPr>
                    <w:t>3.2.6</w:t>
                  </w:r>
                </w:p>
              </w:tc>
              <w:tc>
                <w:tcPr>
                  <w:tcW w:w="3062"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211E86EE">
                  <w:pPr>
                    <w:keepNext w:val="0"/>
                    <w:keepLines w:val="0"/>
                    <w:widowControl/>
                    <w:suppressLineNumbers w:val="0"/>
                    <w:jc w:val="left"/>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kern w:val="0"/>
                      <w:sz w:val="24"/>
                      <w:szCs w:val="24"/>
                      <w:lang w:val="en-US" w:eastAsia="zh-CN" w:bidi="ar"/>
                    </w:rPr>
                    <w:t>多租户分级架构升级优化</w:t>
                  </w:r>
                </w:p>
              </w:tc>
              <w:tc>
                <w:tcPr>
                  <w:tcW w:w="718" w:type="pct"/>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199185E4">
                  <w:pPr>
                    <w:keepNext w:val="0"/>
                    <w:keepLines w:val="0"/>
                    <w:widowControl/>
                    <w:suppressLineNumbers w:val="0"/>
                    <w:jc w:val="center"/>
                    <w:textAlignment w:val="top"/>
                    <w:rPr>
                      <w:rFonts w:hint="default" w:ascii="宋体" w:hAnsi="宋体" w:eastAsia="宋体" w:cs="宋体"/>
                      <w:i w:val="0"/>
                      <w:iCs w:val="0"/>
                      <w:caps w:val="0"/>
                      <w:color w:val="222222"/>
                      <w:spacing w:val="0"/>
                      <w:sz w:val="24"/>
                      <w:szCs w:val="24"/>
                      <w:lang w:val="en-US"/>
                    </w:rPr>
                  </w:pPr>
                  <w:r>
                    <w:rPr>
                      <w:rFonts w:hint="eastAsia" w:ascii="宋体" w:hAnsi="宋体" w:eastAsia="宋体" w:cs="宋体"/>
                      <w:i w:val="0"/>
                      <w:iCs w:val="0"/>
                      <w:caps w:val="0"/>
                      <w:color w:val="222222"/>
                      <w:spacing w:val="0"/>
                      <w:kern w:val="0"/>
                      <w:sz w:val="24"/>
                      <w:szCs w:val="24"/>
                      <w:lang w:val="en-US" w:eastAsia="zh-CN" w:bidi="ar"/>
                    </w:rPr>
                    <w:t>2</w:t>
                  </w:r>
                </w:p>
              </w:tc>
            </w:tr>
            <w:tr w14:paraId="014B3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60"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659F256D">
                  <w:pPr>
                    <w:keepNext w:val="0"/>
                    <w:keepLines w:val="0"/>
                    <w:widowControl/>
                    <w:suppressLineNumbers w:val="0"/>
                    <w:jc w:val="left"/>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lang w:val="en-US" w:eastAsia="zh-CN"/>
                    </w:rPr>
                    <w:t>3.2.7</w:t>
                  </w:r>
                </w:p>
              </w:tc>
              <w:tc>
                <w:tcPr>
                  <w:tcW w:w="3062"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19196086">
                  <w:pPr>
                    <w:keepNext w:val="0"/>
                    <w:keepLines w:val="0"/>
                    <w:widowControl/>
                    <w:suppressLineNumbers w:val="0"/>
                    <w:jc w:val="left"/>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kern w:val="0"/>
                      <w:sz w:val="24"/>
                      <w:szCs w:val="24"/>
                      <w:lang w:val="en-US" w:eastAsia="zh-CN" w:bidi="ar"/>
                    </w:rPr>
                    <w:t>分级权限体系优化</w:t>
                  </w:r>
                </w:p>
              </w:tc>
              <w:tc>
                <w:tcPr>
                  <w:tcW w:w="718" w:type="pct"/>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1C0F77B9">
                  <w:pPr>
                    <w:keepNext w:val="0"/>
                    <w:keepLines w:val="0"/>
                    <w:widowControl/>
                    <w:suppressLineNumbers w:val="0"/>
                    <w:jc w:val="center"/>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kern w:val="0"/>
                      <w:sz w:val="24"/>
                      <w:szCs w:val="24"/>
                      <w:lang w:val="en-US" w:eastAsia="zh-CN" w:bidi="ar"/>
                    </w:rPr>
                    <w:t>2</w:t>
                  </w:r>
                </w:p>
              </w:tc>
            </w:tr>
            <w:tr w14:paraId="18EFE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60"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76B4A1EA">
                  <w:pPr>
                    <w:keepNext w:val="0"/>
                    <w:keepLines w:val="0"/>
                    <w:widowControl/>
                    <w:suppressLineNumbers w:val="0"/>
                    <w:jc w:val="left"/>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lang w:val="en-US" w:eastAsia="zh-CN"/>
                    </w:rPr>
                    <w:t>3.2.8</w:t>
                  </w:r>
                </w:p>
              </w:tc>
              <w:tc>
                <w:tcPr>
                  <w:tcW w:w="3062"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53A7A06C">
                  <w:pPr>
                    <w:keepNext w:val="0"/>
                    <w:keepLines w:val="0"/>
                    <w:widowControl/>
                    <w:suppressLineNumbers w:val="0"/>
                    <w:jc w:val="left"/>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kern w:val="0"/>
                      <w:sz w:val="24"/>
                      <w:szCs w:val="24"/>
                      <w:lang w:val="en-US" w:eastAsia="zh-CN" w:bidi="ar"/>
                    </w:rPr>
                    <w:t>全省统一工号与档案管理优化</w:t>
                  </w:r>
                </w:p>
              </w:tc>
              <w:tc>
                <w:tcPr>
                  <w:tcW w:w="718" w:type="pct"/>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19430C58">
                  <w:pPr>
                    <w:keepNext w:val="0"/>
                    <w:keepLines w:val="0"/>
                    <w:widowControl/>
                    <w:suppressLineNumbers w:val="0"/>
                    <w:jc w:val="center"/>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kern w:val="0"/>
                      <w:sz w:val="24"/>
                      <w:szCs w:val="24"/>
                      <w:lang w:val="en-US" w:eastAsia="zh-CN" w:bidi="ar"/>
                    </w:rPr>
                    <w:t>1</w:t>
                  </w:r>
                </w:p>
              </w:tc>
            </w:tr>
            <w:tr w14:paraId="36473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60"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3E348A17">
                  <w:pPr>
                    <w:keepNext w:val="0"/>
                    <w:keepLines w:val="0"/>
                    <w:widowControl/>
                    <w:suppressLineNumbers w:val="0"/>
                    <w:jc w:val="left"/>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lang w:val="en-US" w:eastAsia="zh-CN"/>
                    </w:rPr>
                    <w:t>3.2.8、3.2.9</w:t>
                  </w:r>
                </w:p>
              </w:tc>
              <w:tc>
                <w:tcPr>
                  <w:tcW w:w="3062"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59DEFA0F">
                  <w:pPr>
                    <w:keepNext w:val="0"/>
                    <w:keepLines w:val="0"/>
                    <w:widowControl/>
                    <w:suppressLineNumbers w:val="0"/>
                    <w:jc w:val="left"/>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kern w:val="0"/>
                      <w:sz w:val="24"/>
                      <w:szCs w:val="24"/>
                      <w:lang w:val="en-US" w:eastAsia="zh-CN" w:bidi="ar"/>
                    </w:rPr>
                    <w:t>省级全域数据大屏升级 / 分级数据管理体系优化</w:t>
                  </w:r>
                </w:p>
              </w:tc>
              <w:tc>
                <w:tcPr>
                  <w:tcW w:w="718" w:type="pct"/>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44EDC5B1">
                  <w:pPr>
                    <w:keepNext w:val="0"/>
                    <w:keepLines w:val="0"/>
                    <w:widowControl/>
                    <w:suppressLineNumbers w:val="0"/>
                    <w:jc w:val="center"/>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kern w:val="0"/>
                      <w:sz w:val="24"/>
                      <w:szCs w:val="24"/>
                      <w:lang w:val="en-US" w:eastAsia="zh-CN" w:bidi="ar"/>
                    </w:rPr>
                    <w:t>1</w:t>
                  </w:r>
                </w:p>
              </w:tc>
            </w:tr>
            <w:tr w14:paraId="5F9A7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60"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1291A30C">
                  <w:pPr>
                    <w:keepNext w:val="0"/>
                    <w:keepLines w:val="0"/>
                    <w:widowControl/>
                    <w:suppressLineNumbers w:val="0"/>
                    <w:jc w:val="left"/>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lang w:val="en-US" w:eastAsia="zh-CN"/>
                    </w:rPr>
                    <w:t>3.3</w:t>
                  </w:r>
                </w:p>
              </w:tc>
              <w:tc>
                <w:tcPr>
                  <w:tcW w:w="3062" w:type="dxa"/>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7D97F968">
                  <w:pPr>
                    <w:keepNext w:val="0"/>
                    <w:keepLines w:val="0"/>
                    <w:widowControl/>
                    <w:suppressLineNumbers w:val="0"/>
                    <w:jc w:val="left"/>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kern w:val="0"/>
                      <w:sz w:val="24"/>
                      <w:szCs w:val="24"/>
                      <w:lang w:val="en-US" w:eastAsia="zh-CN" w:bidi="ar"/>
                    </w:rPr>
                    <w:t>地级坐席许可扩容</w:t>
                  </w:r>
                </w:p>
              </w:tc>
              <w:tc>
                <w:tcPr>
                  <w:tcW w:w="718" w:type="pct"/>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076F4550">
                  <w:pPr>
                    <w:keepNext w:val="0"/>
                    <w:keepLines w:val="0"/>
                    <w:widowControl/>
                    <w:suppressLineNumbers w:val="0"/>
                    <w:jc w:val="center"/>
                    <w:textAlignment w:val="top"/>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kern w:val="0"/>
                      <w:sz w:val="24"/>
                      <w:szCs w:val="24"/>
                      <w:lang w:val="en-US" w:eastAsia="zh-CN" w:bidi="ar"/>
                    </w:rPr>
                    <w:t>3</w:t>
                  </w:r>
                </w:p>
              </w:tc>
            </w:tr>
            <w:tr w14:paraId="4CBEB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50" w:type="pct"/>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06718C4B">
                  <w:pPr>
                    <w:keepNext w:val="0"/>
                    <w:keepLines w:val="0"/>
                    <w:widowControl/>
                    <w:suppressLineNumbers w:val="0"/>
                    <w:jc w:val="left"/>
                    <w:textAlignment w:val="top"/>
                    <w:rPr>
                      <w:rFonts w:hint="eastAsia" w:ascii="宋体" w:hAnsi="宋体" w:eastAsia="宋体" w:cs="宋体"/>
                      <w:b/>
                      <w:bCs/>
                      <w:i w:val="0"/>
                      <w:iCs w:val="0"/>
                      <w:caps w:val="0"/>
                      <w:color w:val="222222"/>
                      <w:spacing w:val="0"/>
                      <w:sz w:val="24"/>
                      <w:szCs w:val="24"/>
                    </w:rPr>
                  </w:pPr>
                  <w:r>
                    <w:rPr>
                      <w:rFonts w:hint="eastAsia" w:ascii="宋体" w:hAnsi="宋体" w:eastAsia="宋体" w:cs="宋体"/>
                      <w:b/>
                      <w:bCs/>
                      <w:i w:val="0"/>
                      <w:iCs w:val="0"/>
                      <w:caps w:val="0"/>
                      <w:color w:val="222222"/>
                      <w:spacing w:val="0"/>
                      <w:kern w:val="0"/>
                      <w:sz w:val="24"/>
                      <w:szCs w:val="24"/>
                      <w:lang w:val="en-US" w:eastAsia="zh-CN" w:bidi="ar"/>
                    </w:rPr>
                    <w:t>合计</w:t>
                  </w:r>
                </w:p>
              </w:tc>
              <w:tc>
                <w:tcPr>
                  <w:tcW w:w="3430" w:type="pct"/>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52D0A19D">
                  <w:pPr>
                    <w:keepNext w:val="0"/>
                    <w:keepLines w:val="0"/>
                    <w:widowControl/>
                    <w:suppressLineNumbers w:val="0"/>
                    <w:jc w:val="left"/>
                    <w:textAlignment w:val="top"/>
                    <w:rPr>
                      <w:rFonts w:hint="eastAsia" w:ascii="宋体" w:hAnsi="宋体" w:eastAsia="宋体" w:cs="宋体"/>
                      <w:b/>
                      <w:bCs/>
                      <w:i w:val="0"/>
                      <w:iCs w:val="0"/>
                      <w:caps w:val="0"/>
                      <w:color w:val="222222"/>
                      <w:spacing w:val="0"/>
                      <w:sz w:val="24"/>
                      <w:szCs w:val="24"/>
                    </w:rPr>
                  </w:pPr>
                  <w:r>
                    <w:rPr>
                      <w:rFonts w:hint="eastAsia" w:ascii="宋体" w:hAnsi="宋体" w:eastAsia="宋体" w:cs="宋体"/>
                      <w:b/>
                      <w:bCs/>
                      <w:i w:val="0"/>
                      <w:iCs w:val="0"/>
                      <w:caps w:val="0"/>
                      <w:color w:val="222222"/>
                      <w:spacing w:val="0"/>
                      <w:kern w:val="0"/>
                      <w:sz w:val="24"/>
                      <w:szCs w:val="24"/>
                      <w:lang w:val="en-US" w:eastAsia="zh-CN" w:bidi="ar"/>
                    </w:rPr>
                    <w:t>其他技术指标合计</w:t>
                  </w:r>
                </w:p>
              </w:tc>
              <w:tc>
                <w:tcPr>
                  <w:tcW w:w="718" w:type="pct"/>
                  <w:tcBorders>
                    <w:top w:val="single" w:color="CFD8DC" w:sz="8" w:space="0"/>
                    <w:left w:val="single" w:color="CFD8DC" w:sz="8" w:space="0"/>
                    <w:bottom w:val="single" w:color="CFD8DC" w:sz="8" w:space="0"/>
                    <w:right w:val="single" w:color="CFD8DC" w:sz="8" w:space="0"/>
                  </w:tcBorders>
                  <w:shd w:val="clear" w:color="auto" w:fill="auto"/>
                  <w:tcMar>
                    <w:top w:w="160" w:type="dxa"/>
                    <w:left w:w="200" w:type="dxa"/>
                    <w:bottom w:w="160" w:type="dxa"/>
                    <w:right w:w="200" w:type="dxa"/>
                  </w:tcMar>
                  <w:vAlign w:val="top"/>
                </w:tcPr>
                <w:p w14:paraId="122FA307">
                  <w:pPr>
                    <w:keepNext w:val="0"/>
                    <w:keepLines w:val="0"/>
                    <w:widowControl/>
                    <w:suppressLineNumbers w:val="0"/>
                    <w:jc w:val="center"/>
                    <w:textAlignment w:val="top"/>
                    <w:rPr>
                      <w:rFonts w:hint="eastAsia" w:ascii="宋体" w:hAnsi="宋体" w:eastAsia="宋体" w:cs="宋体"/>
                      <w:b/>
                      <w:bCs/>
                      <w:i w:val="0"/>
                      <w:iCs w:val="0"/>
                      <w:caps w:val="0"/>
                      <w:color w:val="222222"/>
                      <w:spacing w:val="0"/>
                      <w:sz w:val="24"/>
                      <w:szCs w:val="24"/>
                    </w:rPr>
                  </w:pPr>
                  <w:r>
                    <w:rPr>
                      <w:rFonts w:hint="eastAsia" w:ascii="宋体" w:hAnsi="宋体" w:eastAsia="宋体" w:cs="宋体"/>
                      <w:b/>
                      <w:bCs/>
                      <w:i w:val="0"/>
                      <w:iCs w:val="0"/>
                      <w:caps w:val="0"/>
                      <w:color w:val="222222"/>
                      <w:spacing w:val="0"/>
                      <w:kern w:val="0"/>
                      <w:sz w:val="24"/>
                      <w:szCs w:val="24"/>
                      <w:lang w:val="en-US" w:eastAsia="zh-CN" w:bidi="ar"/>
                    </w:rPr>
                    <w:t>18</w:t>
                  </w:r>
                </w:p>
              </w:tc>
            </w:tr>
          </w:tbl>
          <w:p w14:paraId="55C391FB">
            <w:pPr>
              <w:numPr>
                <w:ilvl w:val="0"/>
                <w:numId w:val="0"/>
              </w:numPr>
              <w:spacing w:line="360" w:lineRule="auto"/>
              <w:ind w:leftChars="0"/>
              <w:rPr>
                <w:rFonts w:hint="eastAsia" w:ascii="宋体" w:hAnsi="宋体" w:eastAsia="宋体" w:cs="宋体"/>
                <w:b w:val="0"/>
                <w:bCs/>
                <w:color w:val="auto"/>
                <w:kern w:val="0"/>
                <w:sz w:val="24"/>
                <w:szCs w:val="24"/>
                <w:highlight w:val="none"/>
                <w:lang w:val="en-US" w:eastAsia="en-US" w:bidi="ar-SA"/>
              </w:rPr>
            </w:pPr>
          </w:p>
        </w:tc>
        <w:tc>
          <w:tcPr>
            <w:tcW w:w="122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BC00A1C">
            <w:pPr>
              <w:widowControl/>
              <w:spacing w:line="360" w:lineRule="auto"/>
              <w:jc w:val="center"/>
              <w:rPr>
                <w:rFonts w:hint="default"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36</w:t>
            </w:r>
          </w:p>
        </w:tc>
      </w:tr>
      <w:tr w14:paraId="1F13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Merge w:val="continue"/>
            <w:tcBorders>
              <w:left w:val="single" w:color="000000" w:sz="2" w:space="0"/>
              <w:right w:val="single" w:color="000000" w:sz="2" w:space="0"/>
            </w:tcBorders>
            <w:noWrap/>
            <w:tcMar>
              <w:top w:w="100" w:type="dxa"/>
              <w:bottom w:w="100" w:type="dxa"/>
            </w:tcMar>
            <w:vAlign w:val="center"/>
          </w:tcPr>
          <w:p w14:paraId="369E6ED0">
            <w:pPr>
              <w:widowControl/>
              <w:spacing w:line="360" w:lineRule="auto"/>
              <w:jc w:val="center"/>
              <w:rPr>
                <w:rFonts w:hint="eastAsia" w:ascii="宋体" w:hAnsi="宋体" w:eastAsia="宋体" w:cs="宋体"/>
                <w:b w:val="0"/>
                <w:bCs/>
                <w:color w:val="auto"/>
                <w:kern w:val="0"/>
                <w:sz w:val="24"/>
                <w:szCs w:val="24"/>
                <w:highlight w:val="none"/>
                <w:lang w:val="en-US" w:eastAsia="en-US" w:bidi="ar-SA"/>
              </w:rPr>
            </w:pPr>
          </w:p>
        </w:tc>
        <w:tc>
          <w:tcPr>
            <w:tcW w:w="11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AE4CD39">
            <w:pPr>
              <w:widowControl/>
              <w:spacing w:line="360" w:lineRule="auto"/>
              <w:jc w:val="center"/>
              <w:rPr>
                <w:rFonts w:hint="eastAsia" w:ascii="宋体" w:hAnsi="宋体" w:eastAsia="宋体" w:cs="宋体"/>
                <w:b w:val="0"/>
                <w:bCs/>
                <w:color w:val="auto"/>
                <w:kern w:val="0"/>
                <w:sz w:val="24"/>
                <w:szCs w:val="24"/>
                <w:highlight w:val="none"/>
                <w:lang w:val="en-US" w:eastAsia="en-US" w:bidi="ar-SA"/>
              </w:rPr>
            </w:pPr>
            <w:r>
              <w:rPr>
                <w:rFonts w:hint="eastAsia" w:ascii="宋体" w:hAnsi="宋体" w:eastAsia="宋体" w:cs="宋体"/>
                <w:b w:val="0"/>
                <w:bCs/>
                <w:color w:val="auto"/>
                <w:kern w:val="2"/>
                <w:sz w:val="24"/>
                <w:szCs w:val="24"/>
                <w:highlight w:val="none"/>
              </w:rPr>
              <w:t>整体设计思想及方案</w:t>
            </w:r>
          </w:p>
        </w:tc>
        <w:tc>
          <w:tcPr>
            <w:tcW w:w="46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9399983">
            <w:pPr>
              <w:widowControl/>
              <w:spacing w:line="360" w:lineRule="auto"/>
              <w:jc w:val="center"/>
              <w:rPr>
                <w:rFonts w:hint="eastAsia" w:ascii="宋体" w:hAnsi="宋体" w:eastAsia="宋体" w:cs="宋体"/>
                <w:b w:val="0"/>
                <w:bCs/>
                <w:color w:val="auto"/>
                <w:kern w:val="0"/>
                <w:sz w:val="24"/>
                <w:szCs w:val="24"/>
                <w:highlight w:val="none"/>
                <w:lang w:val="en-US" w:eastAsia="en-US" w:bidi="ar-SA"/>
              </w:rPr>
            </w:pPr>
            <w:r>
              <w:rPr>
                <w:rFonts w:hint="eastAsia" w:ascii="宋体" w:hAnsi="宋体" w:eastAsia="宋体" w:cs="宋体"/>
                <w:b w:val="0"/>
                <w:bCs/>
                <w:color w:val="auto"/>
                <w:kern w:val="0"/>
                <w:sz w:val="24"/>
                <w:szCs w:val="24"/>
                <w:highlight w:val="none"/>
                <w:lang w:val="en-US" w:eastAsia="en-US" w:bidi="ar-SA"/>
              </w:rPr>
              <w:t>根据供应商对现网系统的理解深度及系统兼容方案进行综合评分，内容包括但不限于：</w:t>
            </w:r>
          </w:p>
          <w:p w14:paraId="69A60B77">
            <w:pPr>
              <w:widowControl/>
              <w:spacing w:line="360" w:lineRule="auto"/>
              <w:jc w:val="center"/>
              <w:rPr>
                <w:rFonts w:hint="eastAsia" w:ascii="宋体" w:hAnsi="宋体" w:eastAsia="宋体" w:cs="宋体"/>
                <w:b w:val="0"/>
                <w:bCs/>
                <w:color w:val="auto"/>
                <w:kern w:val="0"/>
                <w:sz w:val="24"/>
                <w:szCs w:val="24"/>
                <w:highlight w:val="none"/>
                <w:lang w:val="en-US" w:eastAsia="en-US" w:bidi="ar-SA"/>
              </w:rPr>
            </w:pPr>
            <w:r>
              <w:rPr>
                <w:rFonts w:hint="eastAsia" w:ascii="宋体" w:hAnsi="宋体" w:eastAsia="宋体" w:cs="宋体"/>
                <w:b w:val="0"/>
                <w:bCs/>
                <w:color w:val="auto"/>
                <w:kern w:val="0"/>
                <w:sz w:val="24"/>
                <w:szCs w:val="24"/>
                <w:highlight w:val="none"/>
                <w:lang w:val="en-US" w:eastAsia="en-US" w:bidi="ar-SA"/>
              </w:rPr>
              <w:t>①现系统技术架构分析与理解；②现数据结构与业务逻辑熟悉程度；③原地升级策略与数据迁移方案；④平滑演进与回退保障机制。供应商提交现系统理解及兼容方案的得</w:t>
            </w:r>
            <w:r>
              <w:rPr>
                <w:rFonts w:hint="eastAsia" w:ascii="宋体" w:hAnsi="宋体" w:eastAsia="宋体" w:cs="宋体"/>
                <w:b w:val="0"/>
                <w:bCs/>
                <w:color w:val="auto"/>
                <w:kern w:val="0"/>
                <w:sz w:val="24"/>
                <w:szCs w:val="24"/>
                <w:highlight w:val="none"/>
                <w:lang w:val="en-US" w:eastAsia="zh-CN" w:bidi="ar-SA"/>
              </w:rPr>
              <w:t>12</w:t>
            </w:r>
            <w:r>
              <w:rPr>
                <w:rFonts w:hint="eastAsia" w:ascii="宋体" w:hAnsi="宋体" w:eastAsia="宋体" w:cs="宋体"/>
                <w:b w:val="0"/>
                <w:bCs/>
                <w:color w:val="auto"/>
                <w:kern w:val="0"/>
                <w:sz w:val="24"/>
                <w:szCs w:val="24"/>
                <w:highlight w:val="none"/>
                <w:lang w:val="en-US" w:eastAsia="en-US" w:bidi="ar-SA"/>
              </w:rPr>
              <w:t>分，每缺少一项内容扣</w:t>
            </w:r>
            <w:r>
              <w:rPr>
                <w:rFonts w:hint="eastAsia" w:ascii="宋体" w:hAnsi="宋体" w:eastAsia="宋体" w:cs="宋体"/>
                <w:b w:val="0"/>
                <w:bCs/>
                <w:color w:val="auto"/>
                <w:kern w:val="0"/>
                <w:sz w:val="24"/>
                <w:szCs w:val="24"/>
                <w:highlight w:val="none"/>
                <w:lang w:val="en-US" w:eastAsia="zh-CN" w:bidi="ar-SA"/>
              </w:rPr>
              <w:t>3</w:t>
            </w:r>
            <w:r>
              <w:rPr>
                <w:rFonts w:hint="eastAsia" w:ascii="宋体" w:hAnsi="宋体" w:eastAsia="宋体" w:cs="宋体"/>
                <w:b w:val="0"/>
                <w:bCs/>
                <w:color w:val="auto"/>
                <w:kern w:val="0"/>
                <w:sz w:val="24"/>
                <w:szCs w:val="24"/>
                <w:highlight w:val="none"/>
                <w:lang w:val="en-US" w:eastAsia="en-US" w:bidi="ar-SA"/>
              </w:rPr>
              <w:t>分，扣完为止；方案存在一处缺陷（缺陷是指内容不符合采购项目具体特点、与实际需要不相适应、凭空编造、前后矛盾等）扣1分，扣完为止。</w:t>
            </w:r>
          </w:p>
        </w:tc>
        <w:tc>
          <w:tcPr>
            <w:tcW w:w="122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E3FC35E">
            <w:pPr>
              <w:widowControl/>
              <w:spacing w:line="360" w:lineRule="auto"/>
              <w:jc w:val="center"/>
              <w:rPr>
                <w:rFonts w:hint="default"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12</w:t>
            </w:r>
          </w:p>
        </w:tc>
      </w:tr>
      <w:tr w14:paraId="2DB3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Merge w:val="continue"/>
            <w:tcBorders>
              <w:left w:val="single" w:color="000000" w:sz="2" w:space="0"/>
              <w:right w:val="single" w:color="000000" w:sz="2" w:space="0"/>
            </w:tcBorders>
            <w:noWrap/>
            <w:tcMar>
              <w:top w:w="100" w:type="dxa"/>
              <w:bottom w:w="100" w:type="dxa"/>
            </w:tcMar>
            <w:vAlign w:val="center"/>
          </w:tcPr>
          <w:p w14:paraId="7F324564">
            <w:pPr>
              <w:widowControl/>
              <w:spacing w:line="360" w:lineRule="auto"/>
              <w:jc w:val="center"/>
              <w:rPr>
                <w:rFonts w:hint="eastAsia" w:ascii="宋体" w:hAnsi="宋体" w:eastAsia="宋体" w:cs="宋体"/>
                <w:b w:val="0"/>
                <w:bCs/>
                <w:color w:val="auto"/>
                <w:kern w:val="0"/>
                <w:sz w:val="24"/>
                <w:szCs w:val="24"/>
                <w:highlight w:val="none"/>
                <w:lang w:val="en-US" w:eastAsia="en-US" w:bidi="ar-SA"/>
              </w:rPr>
            </w:pPr>
          </w:p>
        </w:tc>
        <w:tc>
          <w:tcPr>
            <w:tcW w:w="11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059406F">
            <w:pPr>
              <w:widowControl/>
              <w:spacing w:line="360" w:lineRule="auto"/>
              <w:jc w:val="center"/>
              <w:rPr>
                <w:rFonts w:hint="eastAsia" w:ascii="宋体" w:hAnsi="宋体" w:eastAsia="宋体" w:cs="宋体"/>
                <w:b w:val="0"/>
                <w:bCs/>
                <w:color w:val="auto"/>
                <w:kern w:val="2"/>
                <w:sz w:val="24"/>
                <w:szCs w:val="24"/>
                <w:highlight w:val="none"/>
              </w:rPr>
            </w:pPr>
            <w:r>
              <w:rPr>
                <w:rFonts w:hint="eastAsia" w:ascii="宋体" w:hAnsi="宋体" w:eastAsia="宋体" w:cs="宋体"/>
                <w:b w:val="0"/>
                <w:bCs/>
                <w:color w:val="auto"/>
                <w:sz w:val="24"/>
                <w:szCs w:val="24"/>
                <w:highlight w:val="none"/>
              </w:rPr>
              <w:t>项目实施方案</w:t>
            </w:r>
          </w:p>
        </w:tc>
        <w:tc>
          <w:tcPr>
            <w:tcW w:w="46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5A2D92E">
            <w:pPr>
              <w:keepNext w:val="0"/>
              <w:keepLines w:val="0"/>
              <w:widowControl/>
              <w:suppressLineNumbers w:val="0"/>
              <w:spacing w:line="360" w:lineRule="auto"/>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根据供应商提交的项目实施方案进行综合评分，内容包括但不限于：①省市县三级平台联调联试方案；②多租户架构配置与数据隔离实施方案；③分级权限体系布设方案；④跨区域话务协同调度联调方案；供应商提交项目实施方案的得8分，每缺少一项内容扣2分，扣完为止；方案内容存在一处缺陷（缺陷是指不符合采购项目具体特点、与实际需要不相适应、凭空编造、前后矛盾等）扣1分，扣完为止。</w:t>
            </w:r>
          </w:p>
        </w:tc>
        <w:tc>
          <w:tcPr>
            <w:tcW w:w="122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869D211">
            <w:pPr>
              <w:widowControl/>
              <w:spacing w:line="360" w:lineRule="auto"/>
              <w:jc w:val="center"/>
              <w:rPr>
                <w:rFonts w:hint="default"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8</w:t>
            </w:r>
          </w:p>
        </w:tc>
      </w:tr>
      <w:tr w14:paraId="710B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Merge w:val="continue"/>
            <w:tcBorders>
              <w:left w:val="single" w:color="000000" w:sz="2" w:space="0"/>
              <w:right w:val="single" w:color="000000" w:sz="2" w:space="0"/>
            </w:tcBorders>
            <w:noWrap/>
            <w:tcMar>
              <w:top w:w="100" w:type="dxa"/>
              <w:bottom w:w="100" w:type="dxa"/>
            </w:tcMar>
            <w:vAlign w:val="center"/>
          </w:tcPr>
          <w:p w14:paraId="60F011C8">
            <w:pPr>
              <w:widowControl/>
              <w:spacing w:line="360" w:lineRule="auto"/>
              <w:jc w:val="center"/>
              <w:rPr>
                <w:rFonts w:hint="eastAsia" w:ascii="宋体" w:hAnsi="宋体" w:eastAsia="宋体" w:cs="宋体"/>
                <w:b w:val="0"/>
                <w:bCs/>
                <w:color w:val="auto"/>
                <w:kern w:val="0"/>
                <w:sz w:val="24"/>
                <w:szCs w:val="24"/>
                <w:highlight w:val="none"/>
                <w:lang w:val="en-US" w:eastAsia="en-US" w:bidi="ar-SA"/>
              </w:rPr>
            </w:pPr>
          </w:p>
        </w:tc>
        <w:tc>
          <w:tcPr>
            <w:tcW w:w="11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2F1B08A">
            <w:pPr>
              <w:widowControl/>
              <w:spacing w:line="360" w:lineRule="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服务保障措施</w:t>
            </w:r>
          </w:p>
        </w:tc>
        <w:tc>
          <w:tcPr>
            <w:tcW w:w="46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B1D474E">
            <w:pPr>
              <w:widowControl/>
              <w:spacing w:line="360" w:lineRule="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根据供应商提交的服务保障措施进行综合评分，内容包括但不限于：①服务质量保障措施；②升级过渡期业务连续性保障，历史数据迁移完整性保障措施；③系统兼容性与适配性保障措施及应急响应与故障处置措施。供应商提交服务保障措施的得6分，每缺少一项内容扣2分，扣完为止；措施存在一处缺陷（缺陷是指不符合采购项目具体特点、与实际需要不相适应、凭空编造、前后矛盾等）扣1分，扣完为止。</w:t>
            </w:r>
          </w:p>
        </w:tc>
        <w:tc>
          <w:tcPr>
            <w:tcW w:w="122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B1A73A3">
            <w:pPr>
              <w:widowControl/>
              <w:spacing w:line="360" w:lineRule="auto"/>
              <w:jc w:val="center"/>
              <w:rPr>
                <w:rFonts w:hint="default"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6</w:t>
            </w:r>
          </w:p>
        </w:tc>
      </w:tr>
      <w:tr w14:paraId="2FA3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Merge w:val="continue"/>
            <w:tcBorders>
              <w:left w:val="single" w:color="000000" w:sz="2" w:space="0"/>
              <w:right w:val="single" w:color="000000" w:sz="2" w:space="0"/>
            </w:tcBorders>
            <w:noWrap/>
            <w:tcMar>
              <w:top w:w="100" w:type="dxa"/>
              <w:bottom w:w="100" w:type="dxa"/>
            </w:tcMar>
            <w:vAlign w:val="center"/>
          </w:tcPr>
          <w:p w14:paraId="09CF12EB">
            <w:pPr>
              <w:widowControl/>
              <w:spacing w:line="360" w:lineRule="auto"/>
              <w:jc w:val="center"/>
              <w:rPr>
                <w:rFonts w:hint="eastAsia" w:ascii="宋体" w:hAnsi="宋体" w:eastAsia="宋体" w:cs="宋体"/>
                <w:b w:val="0"/>
                <w:bCs/>
                <w:color w:val="auto"/>
                <w:kern w:val="0"/>
                <w:sz w:val="24"/>
                <w:szCs w:val="24"/>
                <w:highlight w:val="none"/>
                <w:lang w:val="en-US" w:eastAsia="en-US" w:bidi="ar-SA"/>
              </w:rPr>
            </w:pPr>
          </w:p>
        </w:tc>
        <w:tc>
          <w:tcPr>
            <w:tcW w:w="11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5545333">
            <w:pPr>
              <w:keepNext w:val="0"/>
              <w:keepLines w:val="0"/>
              <w:widowControl/>
              <w:suppressLineNumbers w:val="0"/>
              <w:spacing w:line="360" w:lineRule="auto"/>
              <w:jc w:val="left"/>
              <w:rPr>
                <w:rFonts w:hint="eastAsia" w:ascii="宋体" w:hAnsi="宋体" w:eastAsia="宋体" w:cs="宋体"/>
                <w:b w:val="0"/>
                <w:bCs/>
                <w:color w:val="auto"/>
                <w:sz w:val="24"/>
                <w:szCs w:val="24"/>
                <w:highlight w:val="none"/>
              </w:rPr>
            </w:pPr>
            <w:r>
              <w:rPr>
                <w:rFonts w:hint="eastAsia" w:ascii="宋体" w:hAnsi="宋体" w:eastAsia="宋体" w:cs="宋体"/>
                <w:b w:val="0"/>
                <w:bCs/>
                <w:i w:val="0"/>
                <w:iCs w:val="0"/>
                <w:caps w:val="0"/>
                <w:color w:val="auto"/>
                <w:spacing w:val="0"/>
                <w:kern w:val="0"/>
                <w:sz w:val="24"/>
                <w:szCs w:val="24"/>
                <w:highlight w:val="none"/>
                <w:shd w:val="clear" w:fill="FFFFFF"/>
                <w:lang w:val="en-US" w:eastAsia="zh-CN" w:bidi="ar"/>
              </w:rPr>
              <w:t>培训方案</w:t>
            </w:r>
          </w:p>
        </w:tc>
        <w:tc>
          <w:tcPr>
            <w:tcW w:w="46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F7A8FAC">
            <w:pPr>
              <w:widowControl/>
              <w:spacing w:line="360" w:lineRule="auto"/>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根据供应商提交的培训方案进行综合评分，内容包括但不限于：①分层培训计划（省级/市县/咨询员）；②培训内容与教材准备及培训效果考核与评估机制。供应商提交培训方案的得4分，每缺少一项内容扣2分，扣完为止；方案存在一处缺陷扣1分，扣完为止。</w:t>
            </w:r>
          </w:p>
        </w:tc>
        <w:tc>
          <w:tcPr>
            <w:tcW w:w="122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6291826">
            <w:pPr>
              <w:widowControl/>
              <w:spacing w:line="360" w:lineRule="auto"/>
              <w:jc w:val="center"/>
              <w:rPr>
                <w:rFonts w:hint="default"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4</w:t>
            </w:r>
          </w:p>
        </w:tc>
      </w:tr>
      <w:tr w14:paraId="116D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Merge w:val="continue"/>
            <w:tcBorders>
              <w:left w:val="single" w:color="000000" w:sz="2" w:space="0"/>
              <w:right w:val="single" w:color="000000" w:sz="2" w:space="0"/>
            </w:tcBorders>
            <w:noWrap/>
            <w:tcMar>
              <w:top w:w="100" w:type="dxa"/>
              <w:bottom w:w="100" w:type="dxa"/>
            </w:tcMar>
            <w:vAlign w:val="center"/>
          </w:tcPr>
          <w:p w14:paraId="4C3F51CC">
            <w:pPr>
              <w:widowControl/>
              <w:spacing w:line="360" w:lineRule="auto"/>
              <w:jc w:val="center"/>
              <w:rPr>
                <w:rFonts w:hint="eastAsia" w:ascii="宋体" w:hAnsi="宋体" w:eastAsia="宋体" w:cs="宋体"/>
                <w:b w:val="0"/>
                <w:bCs/>
                <w:color w:val="auto"/>
                <w:kern w:val="0"/>
                <w:sz w:val="24"/>
                <w:szCs w:val="24"/>
                <w:highlight w:val="none"/>
                <w:lang w:val="en-US" w:eastAsia="en-US" w:bidi="ar-SA"/>
              </w:rPr>
            </w:pPr>
          </w:p>
        </w:tc>
        <w:tc>
          <w:tcPr>
            <w:tcW w:w="11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652FC59">
            <w:pPr>
              <w:widowControl/>
              <w:spacing w:line="360" w:lineRule="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kern w:val="0"/>
                <w:sz w:val="24"/>
                <w:szCs w:val="24"/>
                <w:highlight w:val="none"/>
                <w:lang w:val="en-US" w:eastAsia="zh-CN" w:bidi="ar-SA"/>
              </w:rPr>
              <w:t>项目负责人</w:t>
            </w:r>
          </w:p>
        </w:tc>
        <w:tc>
          <w:tcPr>
            <w:tcW w:w="46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EE51B43">
            <w:pPr>
              <w:widowControl/>
              <w:spacing w:line="360" w:lineRule="auto"/>
              <w:ind w:left="0" w:leftChars="0" w:firstLine="0" w:firstLineChars="0"/>
              <w:jc w:val="left"/>
              <w:rPr>
                <w:rFonts w:hint="eastAsia" w:ascii="宋体" w:hAnsi="宋体" w:eastAsia="宋体" w:cs="宋体"/>
                <w:b w:val="0"/>
                <w:bCs/>
                <w:color w:val="auto"/>
                <w:kern w:val="0"/>
                <w:sz w:val="24"/>
                <w:szCs w:val="24"/>
                <w:highlight w:val="none"/>
                <w:lang w:val="en-US" w:eastAsia="en-US" w:bidi="ar-SA"/>
              </w:rPr>
            </w:pPr>
            <w:r>
              <w:rPr>
                <w:rFonts w:hint="eastAsia" w:ascii="宋体" w:hAnsi="宋体" w:eastAsia="宋体" w:cs="宋体"/>
                <w:b w:val="0"/>
                <w:bCs/>
                <w:color w:val="auto"/>
                <w:kern w:val="0"/>
                <w:sz w:val="24"/>
                <w:szCs w:val="24"/>
                <w:highlight w:val="none"/>
                <w:lang w:val="en-US" w:eastAsia="en-US" w:bidi="ar-SA"/>
              </w:rPr>
              <w:t>项目负责人</w:t>
            </w:r>
            <w:r>
              <w:rPr>
                <w:rFonts w:hint="eastAsia" w:ascii="宋体" w:hAnsi="宋体" w:eastAsia="宋体" w:cs="宋体"/>
                <w:b w:val="0"/>
                <w:bCs/>
                <w:color w:val="auto"/>
                <w:kern w:val="0"/>
                <w:sz w:val="24"/>
                <w:szCs w:val="24"/>
                <w:highlight w:val="none"/>
                <w:lang w:val="en-US" w:eastAsia="zh-CN" w:bidi="ar-SA"/>
              </w:rPr>
              <w:t>（</w:t>
            </w:r>
            <w:r>
              <w:rPr>
                <w:rFonts w:hint="eastAsia" w:ascii="宋体" w:hAnsi="宋体" w:eastAsia="宋体" w:cs="宋体"/>
                <w:b w:val="0"/>
                <w:bCs/>
                <w:color w:val="auto"/>
                <w:kern w:val="0"/>
                <w:sz w:val="24"/>
                <w:szCs w:val="24"/>
                <w:highlight w:val="none"/>
                <w:lang w:val="en-US" w:eastAsia="en-US" w:bidi="ar-SA"/>
              </w:rPr>
              <w:t>1名</w:t>
            </w:r>
            <w:r>
              <w:rPr>
                <w:rFonts w:hint="eastAsia" w:ascii="宋体" w:hAnsi="宋体" w:eastAsia="宋体" w:cs="宋体"/>
                <w:b w:val="0"/>
                <w:bCs/>
                <w:color w:val="auto"/>
                <w:kern w:val="0"/>
                <w:sz w:val="24"/>
                <w:szCs w:val="24"/>
                <w:highlight w:val="none"/>
                <w:lang w:val="en-US" w:eastAsia="zh-CN" w:bidi="ar-SA"/>
              </w:rPr>
              <w:t>）</w:t>
            </w:r>
            <w:r>
              <w:rPr>
                <w:rFonts w:hint="eastAsia" w:ascii="宋体" w:hAnsi="宋体" w:eastAsia="宋体" w:cs="宋体"/>
                <w:b w:val="0"/>
                <w:bCs/>
                <w:color w:val="auto"/>
                <w:kern w:val="0"/>
                <w:sz w:val="24"/>
                <w:szCs w:val="24"/>
                <w:highlight w:val="none"/>
                <w:lang w:val="en-US" w:eastAsia="en-US" w:bidi="ar-SA"/>
              </w:rPr>
              <w:t>:</w:t>
            </w:r>
          </w:p>
          <w:p w14:paraId="5E1BB31E">
            <w:pPr>
              <w:widowControl/>
              <w:spacing w:line="360" w:lineRule="auto"/>
              <w:ind w:left="0" w:leftChars="0" w:firstLine="0" w:firstLineChars="0"/>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1.项目负责人具备系统集成项目管理工程师证书或信息系统项目管理师证书或PMP证书得3分。</w:t>
            </w:r>
          </w:p>
          <w:p w14:paraId="54CB06B4">
            <w:pPr>
              <w:widowControl/>
              <w:spacing w:line="360" w:lineRule="auto"/>
              <w:ind w:left="0" w:leftChars="0" w:firstLine="0" w:firstLineChars="0"/>
              <w:jc w:val="left"/>
              <w:rPr>
                <w:rFonts w:hint="eastAsia" w:ascii="宋体" w:hAnsi="宋体" w:eastAsia="宋体" w:cs="宋体"/>
                <w:b w:val="0"/>
                <w:bCs/>
                <w:color w:val="auto"/>
                <w:kern w:val="0"/>
                <w:sz w:val="24"/>
                <w:szCs w:val="24"/>
                <w:highlight w:val="none"/>
                <w:lang w:val="en-US" w:eastAsia="en-US" w:bidi="ar-SA"/>
              </w:rPr>
            </w:pPr>
            <w:r>
              <w:rPr>
                <w:rFonts w:hint="eastAsia" w:ascii="宋体" w:hAnsi="宋体" w:eastAsia="宋体" w:cs="宋体"/>
                <w:b w:val="0"/>
                <w:bCs/>
                <w:color w:val="auto"/>
                <w:kern w:val="0"/>
                <w:sz w:val="24"/>
                <w:szCs w:val="24"/>
                <w:highlight w:val="none"/>
                <w:lang w:val="en-US" w:eastAsia="zh-CN" w:bidi="ar-SA"/>
              </w:rPr>
              <w:t>2.</w:t>
            </w:r>
            <w:r>
              <w:rPr>
                <w:rFonts w:hint="eastAsia" w:ascii="宋体" w:hAnsi="宋体" w:eastAsia="宋体" w:cs="宋体"/>
                <w:b w:val="0"/>
                <w:bCs/>
                <w:color w:val="auto"/>
                <w:kern w:val="0"/>
                <w:sz w:val="24"/>
                <w:szCs w:val="24"/>
                <w:highlight w:val="none"/>
                <w:lang w:val="en-US" w:eastAsia="en-US" w:bidi="ar-SA"/>
              </w:rPr>
              <w:t>具备3年以上心理援助热线项目管理经验的，得</w:t>
            </w:r>
            <w:r>
              <w:rPr>
                <w:rFonts w:hint="eastAsia" w:ascii="宋体" w:hAnsi="宋体" w:eastAsia="宋体" w:cs="宋体"/>
                <w:b w:val="0"/>
                <w:bCs/>
                <w:color w:val="auto"/>
                <w:kern w:val="0"/>
                <w:sz w:val="24"/>
                <w:szCs w:val="24"/>
                <w:highlight w:val="none"/>
                <w:lang w:val="en-US" w:eastAsia="zh-CN" w:bidi="ar-SA"/>
              </w:rPr>
              <w:t>3</w:t>
            </w:r>
            <w:r>
              <w:rPr>
                <w:rFonts w:hint="eastAsia" w:ascii="宋体" w:hAnsi="宋体" w:eastAsia="宋体" w:cs="宋体"/>
                <w:b w:val="0"/>
                <w:bCs/>
                <w:color w:val="auto"/>
                <w:kern w:val="0"/>
                <w:sz w:val="24"/>
                <w:szCs w:val="24"/>
                <w:highlight w:val="none"/>
                <w:lang w:val="en-US" w:eastAsia="en-US" w:bidi="ar-SA"/>
              </w:rPr>
              <w:t>分。（提供投标单位出具的项目管理经验证明材料加盖公章，须明确"心理援助热线"项目名称和管理时长）</w:t>
            </w:r>
          </w:p>
          <w:p w14:paraId="7D9AB8E2">
            <w:pPr>
              <w:widowControl/>
              <w:spacing w:line="360" w:lineRule="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kern w:val="0"/>
                <w:sz w:val="24"/>
                <w:szCs w:val="24"/>
                <w:highlight w:val="none"/>
                <w:lang w:val="en-US" w:eastAsia="en-US" w:bidi="ar-SA"/>
              </w:rPr>
              <w:t>注</w:t>
            </w:r>
            <w:r>
              <w:rPr>
                <w:rFonts w:hint="eastAsia" w:ascii="宋体" w:hAnsi="宋体" w:eastAsia="宋体" w:cs="宋体"/>
                <w:b w:val="0"/>
                <w:bCs/>
                <w:color w:val="auto"/>
                <w:kern w:val="0"/>
                <w:sz w:val="24"/>
                <w:szCs w:val="24"/>
                <w:highlight w:val="none"/>
                <w:lang w:val="en-US" w:eastAsia="zh-CN" w:bidi="ar-SA"/>
              </w:rPr>
              <w:t>：</w:t>
            </w:r>
            <w:r>
              <w:rPr>
                <w:rFonts w:hint="eastAsia" w:ascii="宋体" w:hAnsi="宋体" w:eastAsia="宋体" w:cs="宋体"/>
                <w:b w:val="0"/>
                <w:bCs/>
                <w:color w:val="auto"/>
                <w:kern w:val="0"/>
                <w:sz w:val="24"/>
                <w:szCs w:val="24"/>
                <w:highlight w:val="none"/>
                <w:lang w:val="en-US" w:eastAsia="en-US" w:bidi="ar-SA"/>
              </w:rPr>
              <w:t>提供</w:t>
            </w:r>
            <w:r>
              <w:rPr>
                <w:rFonts w:hint="eastAsia" w:ascii="宋体" w:hAnsi="宋体" w:eastAsia="宋体" w:cs="宋体"/>
                <w:b w:val="0"/>
                <w:bCs/>
                <w:color w:val="auto"/>
                <w:kern w:val="0"/>
                <w:sz w:val="24"/>
                <w:szCs w:val="24"/>
                <w:highlight w:val="none"/>
                <w:lang w:val="en-US" w:eastAsia="zh-CN" w:bidi="ar-SA"/>
              </w:rPr>
              <w:t>相关证书、经验证明材料、</w:t>
            </w:r>
            <w:r>
              <w:rPr>
                <w:rFonts w:hint="eastAsia" w:ascii="宋体" w:hAnsi="宋体" w:eastAsia="宋体" w:cs="宋体"/>
                <w:b w:val="0"/>
                <w:bCs/>
                <w:color w:val="auto"/>
                <w:kern w:val="0"/>
                <w:sz w:val="24"/>
                <w:szCs w:val="24"/>
                <w:highlight w:val="none"/>
                <w:lang w:val="en-US" w:eastAsia="en-US" w:bidi="ar-SA"/>
              </w:rPr>
              <w:t>投标单位为其</w:t>
            </w:r>
            <w:r>
              <w:rPr>
                <w:rFonts w:hint="eastAsia" w:ascii="宋体" w:hAnsi="宋体" w:eastAsia="宋体" w:cs="宋体"/>
                <w:b w:val="0"/>
                <w:bCs/>
                <w:color w:val="auto"/>
                <w:kern w:val="0"/>
                <w:sz w:val="24"/>
                <w:szCs w:val="24"/>
                <w:highlight w:val="none"/>
                <w:lang w:val="en-US" w:eastAsia="zh-CN" w:bidi="ar-SA"/>
              </w:rPr>
              <w:t>缴纳</w:t>
            </w:r>
            <w:r>
              <w:rPr>
                <w:rFonts w:hint="eastAsia" w:ascii="宋体" w:hAnsi="宋体" w:eastAsia="宋体" w:cs="宋体"/>
                <w:b w:val="0"/>
                <w:bCs/>
                <w:color w:val="auto"/>
                <w:kern w:val="0"/>
                <w:sz w:val="24"/>
                <w:szCs w:val="24"/>
                <w:highlight w:val="none"/>
                <w:lang w:val="en-US" w:eastAsia="en-US" w:bidi="ar-SA"/>
              </w:rPr>
              <w:t>的</w:t>
            </w:r>
            <w:r>
              <w:rPr>
                <w:rFonts w:hint="eastAsia" w:ascii="宋体" w:hAnsi="宋体" w:eastAsia="宋体" w:cs="宋体"/>
                <w:b w:val="0"/>
                <w:bCs/>
                <w:color w:val="auto"/>
                <w:kern w:val="0"/>
                <w:sz w:val="24"/>
                <w:szCs w:val="24"/>
                <w:highlight w:val="none"/>
                <w:lang w:val="en-US" w:eastAsia="zh-CN" w:bidi="ar-SA"/>
              </w:rPr>
              <w:t>近一月</w:t>
            </w:r>
            <w:r>
              <w:rPr>
                <w:rFonts w:hint="eastAsia" w:ascii="宋体" w:hAnsi="宋体" w:eastAsia="宋体" w:cs="宋体"/>
                <w:b w:val="0"/>
                <w:bCs/>
                <w:color w:val="auto"/>
                <w:kern w:val="0"/>
                <w:sz w:val="24"/>
                <w:szCs w:val="24"/>
                <w:highlight w:val="none"/>
                <w:lang w:val="en-US" w:eastAsia="en-US" w:bidi="ar-SA"/>
              </w:rPr>
              <w:t>的社保缴纳证明材料加盖公章</w:t>
            </w:r>
            <w:r>
              <w:rPr>
                <w:rFonts w:hint="eastAsia" w:ascii="宋体" w:hAnsi="宋体" w:eastAsia="宋体" w:cs="宋体"/>
                <w:b w:val="0"/>
                <w:bCs/>
                <w:color w:val="auto"/>
                <w:kern w:val="0"/>
                <w:sz w:val="24"/>
                <w:szCs w:val="24"/>
                <w:highlight w:val="none"/>
                <w:lang w:val="en-US" w:eastAsia="zh-CN" w:bidi="ar-SA"/>
              </w:rPr>
              <w:t>，</w:t>
            </w:r>
            <w:r>
              <w:rPr>
                <w:rFonts w:hint="eastAsia" w:ascii="宋体" w:hAnsi="宋体" w:eastAsia="宋体" w:cs="宋体"/>
                <w:b w:val="0"/>
                <w:bCs/>
                <w:color w:val="auto"/>
                <w:kern w:val="0"/>
                <w:sz w:val="24"/>
                <w:szCs w:val="24"/>
                <w:highlight w:val="none"/>
                <w:lang w:val="en-US" w:eastAsia="en-US" w:bidi="ar-SA"/>
              </w:rPr>
              <w:t>否则该人员不得分。</w:t>
            </w:r>
          </w:p>
        </w:tc>
        <w:tc>
          <w:tcPr>
            <w:tcW w:w="122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6AB839A">
            <w:pPr>
              <w:widowControl/>
              <w:spacing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6</w:t>
            </w:r>
          </w:p>
        </w:tc>
      </w:tr>
      <w:tr w14:paraId="1E6F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Merge w:val="continue"/>
            <w:tcBorders>
              <w:left w:val="single" w:color="000000" w:sz="2" w:space="0"/>
              <w:right w:val="single" w:color="000000" w:sz="2" w:space="0"/>
            </w:tcBorders>
            <w:noWrap/>
            <w:tcMar>
              <w:top w:w="100" w:type="dxa"/>
              <w:bottom w:w="100" w:type="dxa"/>
            </w:tcMar>
            <w:vAlign w:val="center"/>
          </w:tcPr>
          <w:p w14:paraId="4D07C025">
            <w:pPr>
              <w:widowControl/>
              <w:spacing w:line="360" w:lineRule="auto"/>
              <w:jc w:val="center"/>
              <w:rPr>
                <w:rFonts w:hint="eastAsia" w:ascii="宋体" w:hAnsi="宋体" w:eastAsia="宋体" w:cs="宋体"/>
                <w:b w:val="0"/>
                <w:bCs/>
                <w:color w:val="auto"/>
                <w:kern w:val="0"/>
                <w:sz w:val="24"/>
                <w:szCs w:val="24"/>
                <w:highlight w:val="none"/>
                <w:lang w:val="en-US" w:eastAsia="en-US" w:bidi="ar-SA"/>
              </w:rPr>
            </w:pPr>
          </w:p>
        </w:tc>
        <w:tc>
          <w:tcPr>
            <w:tcW w:w="11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AE734A1">
            <w:pPr>
              <w:widowControl/>
              <w:spacing w:line="360" w:lineRule="auto"/>
              <w:jc w:val="center"/>
              <w:rPr>
                <w:rFonts w:hint="eastAsia" w:ascii="宋体" w:hAnsi="宋体" w:eastAsia="宋体" w:cs="宋体"/>
                <w:b w:val="0"/>
                <w:bCs/>
                <w:strike w:val="0"/>
                <w:dstrike w:val="0"/>
                <w:color w:val="auto"/>
                <w:kern w:val="0"/>
                <w:sz w:val="24"/>
                <w:szCs w:val="24"/>
                <w:highlight w:val="none"/>
                <w:lang w:val="en-US" w:eastAsia="zh-CN" w:bidi="ar-SA"/>
              </w:rPr>
            </w:pPr>
            <w:r>
              <w:rPr>
                <w:rFonts w:hint="eastAsia" w:ascii="宋体" w:hAnsi="宋体" w:eastAsia="宋体" w:cs="宋体"/>
                <w:b w:val="0"/>
                <w:bCs/>
                <w:strike w:val="0"/>
                <w:dstrike w:val="0"/>
                <w:color w:val="auto"/>
                <w:kern w:val="0"/>
                <w:sz w:val="24"/>
                <w:szCs w:val="24"/>
                <w:highlight w:val="none"/>
                <w:lang w:val="en-US" w:eastAsia="zh-CN" w:bidi="ar-SA"/>
              </w:rPr>
              <w:t>团队人员</w:t>
            </w:r>
          </w:p>
        </w:tc>
        <w:tc>
          <w:tcPr>
            <w:tcW w:w="46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81CF202">
            <w:pPr>
              <w:widowControl/>
              <w:spacing w:line="360" w:lineRule="auto"/>
              <w:ind w:left="0" w:leftChars="0" w:firstLine="0" w:firstLineChars="0"/>
              <w:jc w:val="left"/>
              <w:rPr>
                <w:rFonts w:hint="default" w:ascii="宋体" w:hAnsi="宋体" w:eastAsia="宋体" w:cs="宋体"/>
                <w:b w:val="0"/>
                <w:bCs/>
                <w:strike w:val="0"/>
                <w:dstrike w:val="0"/>
                <w:color w:val="auto"/>
                <w:kern w:val="0"/>
                <w:sz w:val="24"/>
                <w:szCs w:val="24"/>
                <w:highlight w:val="none"/>
                <w:lang w:val="en-US" w:eastAsia="zh-CN" w:bidi="ar-SA"/>
              </w:rPr>
            </w:pPr>
            <w:r>
              <w:rPr>
                <w:rFonts w:hint="eastAsia" w:ascii="宋体" w:hAnsi="宋体" w:eastAsia="宋体" w:cs="宋体"/>
                <w:b w:val="0"/>
                <w:bCs/>
                <w:strike w:val="0"/>
                <w:dstrike w:val="0"/>
                <w:color w:val="auto"/>
                <w:kern w:val="0"/>
                <w:sz w:val="24"/>
                <w:szCs w:val="24"/>
                <w:highlight w:val="none"/>
                <w:lang w:val="en-US" w:eastAsia="en-US" w:bidi="ar-SA"/>
              </w:rPr>
              <w:t>投标人为本项目投入的</w:t>
            </w:r>
            <w:r>
              <w:rPr>
                <w:rFonts w:hint="eastAsia" w:ascii="宋体" w:hAnsi="宋体" w:eastAsia="宋体" w:cs="宋体"/>
                <w:b w:val="0"/>
                <w:bCs/>
                <w:strike w:val="0"/>
                <w:dstrike w:val="0"/>
                <w:color w:val="auto"/>
                <w:kern w:val="0"/>
                <w:sz w:val="24"/>
                <w:szCs w:val="24"/>
                <w:highlight w:val="none"/>
                <w:lang w:val="en-US" w:eastAsia="zh-CN" w:bidi="ar-SA"/>
              </w:rPr>
              <w:t>团队人员具备3年以上心理援助热线项目/开发/运维经验要求。</w:t>
            </w:r>
          </w:p>
          <w:p w14:paraId="137AF4A8">
            <w:pPr>
              <w:widowControl/>
              <w:spacing w:line="360" w:lineRule="auto"/>
              <w:ind w:left="0" w:leftChars="0" w:firstLine="0" w:firstLineChars="0"/>
              <w:jc w:val="left"/>
              <w:rPr>
                <w:rFonts w:hint="eastAsia" w:ascii="宋体" w:hAnsi="宋体" w:eastAsia="宋体" w:cs="宋体"/>
                <w:b w:val="0"/>
                <w:bCs/>
                <w:strike w:val="0"/>
                <w:dstrike w:val="0"/>
                <w:color w:val="auto"/>
                <w:kern w:val="0"/>
                <w:sz w:val="24"/>
                <w:szCs w:val="24"/>
                <w:highlight w:val="none"/>
                <w:lang w:val="en-US" w:eastAsia="zh-CN" w:bidi="ar-SA"/>
              </w:rPr>
            </w:pPr>
            <w:r>
              <w:rPr>
                <w:rFonts w:hint="eastAsia" w:ascii="宋体" w:hAnsi="宋体" w:eastAsia="宋体" w:cs="宋体"/>
                <w:b w:val="0"/>
                <w:bCs/>
                <w:strike w:val="0"/>
                <w:dstrike w:val="0"/>
                <w:color w:val="auto"/>
                <w:kern w:val="0"/>
                <w:sz w:val="24"/>
                <w:szCs w:val="24"/>
                <w:highlight w:val="none"/>
                <w:lang w:val="en-US" w:eastAsia="zh-CN" w:bidi="ar-SA"/>
              </w:rPr>
              <w:t>（</w:t>
            </w:r>
            <w:r>
              <w:rPr>
                <w:rFonts w:hint="eastAsia" w:ascii="宋体" w:hAnsi="宋体" w:eastAsia="宋体" w:cs="宋体"/>
                <w:b w:val="0"/>
                <w:bCs/>
                <w:strike w:val="0"/>
                <w:dstrike w:val="0"/>
                <w:color w:val="auto"/>
                <w:kern w:val="0"/>
                <w:sz w:val="24"/>
                <w:szCs w:val="24"/>
                <w:highlight w:val="none"/>
                <w:lang w:val="en-US" w:eastAsia="en-US" w:bidi="ar-SA"/>
              </w:rPr>
              <w:t>不包含项目负责人</w:t>
            </w:r>
            <w:r>
              <w:rPr>
                <w:rFonts w:hint="eastAsia" w:ascii="宋体" w:hAnsi="宋体" w:eastAsia="宋体" w:cs="宋体"/>
                <w:b w:val="0"/>
                <w:bCs/>
                <w:strike w:val="0"/>
                <w:dstrike w:val="0"/>
                <w:color w:val="auto"/>
                <w:kern w:val="0"/>
                <w:sz w:val="24"/>
                <w:szCs w:val="24"/>
                <w:highlight w:val="none"/>
                <w:lang w:val="en-US" w:eastAsia="zh-CN" w:bidi="ar-SA"/>
              </w:rPr>
              <w:t>）：</w:t>
            </w:r>
          </w:p>
          <w:p w14:paraId="58E6391E">
            <w:pPr>
              <w:widowControl/>
              <w:spacing w:line="360" w:lineRule="auto"/>
              <w:ind w:left="0" w:leftChars="0" w:firstLine="0" w:firstLineChars="0"/>
              <w:jc w:val="left"/>
              <w:rPr>
                <w:rFonts w:hint="eastAsia" w:ascii="宋体" w:hAnsi="宋体" w:eastAsia="宋体" w:cs="宋体"/>
                <w:b w:val="0"/>
                <w:bCs/>
                <w:strike w:val="0"/>
                <w:dstrike w:val="0"/>
                <w:color w:val="auto"/>
                <w:kern w:val="0"/>
                <w:sz w:val="24"/>
                <w:szCs w:val="24"/>
                <w:highlight w:val="none"/>
                <w:lang w:val="en-US" w:eastAsia="en-US" w:bidi="ar-SA"/>
              </w:rPr>
            </w:pPr>
            <w:r>
              <w:rPr>
                <w:rFonts w:hint="eastAsia" w:ascii="宋体" w:hAnsi="宋体" w:eastAsia="宋体" w:cs="宋体"/>
                <w:b w:val="0"/>
                <w:bCs/>
                <w:strike w:val="0"/>
                <w:dstrike w:val="0"/>
                <w:color w:val="auto"/>
                <w:kern w:val="0"/>
                <w:sz w:val="24"/>
                <w:szCs w:val="24"/>
                <w:highlight w:val="none"/>
                <w:lang w:val="en-US" w:eastAsia="zh-CN" w:bidi="ar-SA"/>
              </w:rPr>
              <w:t>1.投标人拟投入的团队成员总数达到5人及以上的，得4分，不足5人的；</w:t>
            </w:r>
            <w:r>
              <w:rPr>
                <w:rFonts w:hint="eastAsia" w:ascii="宋体" w:hAnsi="宋体" w:eastAsia="宋体" w:cs="宋体"/>
                <w:b w:val="0"/>
                <w:bCs/>
                <w:color w:val="auto"/>
                <w:kern w:val="0"/>
                <w:sz w:val="24"/>
                <w:szCs w:val="24"/>
                <w:highlight w:val="none"/>
                <w:lang w:val="en-US" w:eastAsia="en-US" w:bidi="ar-SA"/>
              </w:rPr>
              <w:t>注</w:t>
            </w:r>
            <w:r>
              <w:rPr>
                <w:rFonts w:hint="eastAsia" w:ascii="宋体" w:hAnsi="宋体" w:eastAsia="宋体" w:cs="宋体"/>
                <w:b w:val="0"/>
                <w:bCs/>
                <w:color w:val="auto"/>
                <w:kern w:val="0"/>
                <w:sz w:val="24"/>
                <w:szCs w:val="24"/>
                <w:highlight w:val="none"/>
                <w:lang w:val="en-US" w:eastAsia="zh-CN" w:bidi="ar-SA"/>
              </w:rPr>
              <w:t>：</w:t>
            </w:r>
            <w:r>
              <w:rPr>
                <w:rFonts w:hint="eastAsia" w:ascii="宋体" w:hAnsi="宋体" w:eastAsia="宋体" w:cs="宋体"/>
                <w:b w:val="0"/>
                <w:bCs/>
                <w:color w:val="auto"/>
                <w:kern w:val="0"/>
                <w:sz w:val="24"/>
                <w:szCs w:val="24"/>
                <w:highlight w:val="none"/>
                <w:lang w:val="en-US" w:eastAsia="en-US" w:bidi="ar-SA"/>
              </w:rPr>
              <w:t>提供</w:t>
            </w:r>
            <w:r>
              <w:rPr>
                <w:rFonts w:hint="eastAsia" w:ascii="宋体" w:hAnsi="宋体" w:eastAsia="宋体" w:cs="宋体"/>
                <w:b w:val="0"/>
                <w:bCs/>
                <w:color w:val="auto"/>
                <w:kern w:val="0"/>
                <w:sz w:val="24"/>
                <w:szCs w:val="24"/>
                <w:highlight w:val="none"/>
                <w:lang w:val="en-US" w:eastAsia="zh-CN" w:bidi="ar-SA"/>
              </w:rPr>
              <w:t>相关证书、经验证明材料、</w:t>
            </w:r>
            <w:r>
              <w:rPr>
                <w:rFonts w:hint="eastAsia" w:ascii="宋体" w:hAnsi="宋体" w:eastAsia="宋体" w:cs="宋体"/>
                <w:b w:val="0"/>
                <w:bCs/>
                <w:color w:val="auto"/>
                <w:kern w:val="0"/>
                <w:sz w:val="24"/>
                <w:szCs w:val="24"/>
                <w:highlight w:val="none"/>
                <w:lang w:val="en-US" w:eastAsia="en-US" w:bidi="ar-SA"/>
              </w:rPr>
              <w:t>投标单位为其</w:t>
            </w:r>
            <w:r>
              <w:rPr>
                <w:rFonts w:hint="eastAsia" w:ascii="宋体" w:hAnsi="宋体" w:eastAsia="宋体" w:cs="宋体"/>
                <w:b w:val="0"/>
                <w:bCs/>
                <w:color w:val="auto"/>
                <w:kern w:val="0"/>
                <w:sz w:val="24"/>
                <w:szCs w:val="24"/>
                <w:highlight w:val="none"/>
                <w:lang w:val="en-US" w:eastAsia="zh-CN" w:bidi="ar-SA"/>
              </w:rPr>
              <w:t>缴纳</w:t>
            </w:r>
            <w:r>
              <w:rPr>
                <w:rFonts w:hint="eastAsia" w:ascii="宋体" w:hAnsi="宋体" w:eastAsia="宋体" w:cs="宋体"/>
                <w:b w:val="0"/>
                <w:bCs/>
                <w:color w:val="auto"/>
                <w:kern w:val="0"/>
                <w:sz w:val="24"/>
                <w:szCs w:val="24"/>
                <w:highlight w:val="none"/>
                <w:lang w:val="en-US" w:eastAsia="en-US" w:bidi="ar-SA"/>
              </w:rPr>
              <w:t>的</w:t>
            </w:r>
            <w:r>
              <w:rPr>
                <w:rFonts w:hint="eastAsia" w:ascii="宋体" w:hAnsi="宋体" w:eastAsia="宋体" w:cs="宋体"/>
                <w:b w:val="0"/>
                <w:bCs/>
                <w:color w:val="auto"/>
                <w:kern w:val="0"/>
                <w:sz w:val="24"/>
                <w:szCs w:val="24"/>
                <w:highlight w:val="none"/>
                <w:lang w:val="en-US" w:eastAsia="zh-CN" w:bidi="ar-SA"/>
              </w:rPr>
              <w:t>近一月</w:t>
            </w:r>
            <w:r>
              <w:rPr>
                <w:rFonts w:hint="eastAsia" w:ascii="宋体" w:hAnsi="宋体" w:eastAsia="宋体" w:cs="宋体"/>
                <w:b w:val="0"/>
                <w:bCs/>
                <w:color w:val="auto"/>
                <w:kern w:val="0"/>
                <w:sz w:val="24"/>
                <w:szCs w:val="24"/>
                <w:highlight w:val="none"/>
                <w:lang w:val="en-US" w:eastAsia="en-US" w:bidi="ar-SA"/>
              </w:rPr>
              <w:t>的社保缴纳证明材料加盖公章</w:t>
            </w:r>
            <w:r>
              <w:rPr>
                <w:rFonts w:hint="eastAsia" w:ascii="宋体" w:hAnsi="宋体" w:eastAsia="宋体" w:cs="宋体"/>
                <w:b w:val="0"/>
                <w:bCs/>
                <w:color w:val="auto"/>
                <w:kern w:val="0"/>
                <w:sz w:val="24"/>
                <w:szCs w:val="24"/>
                <w:highlight w:val="none"/>
                <w:lang w:val="en-US" w:eastAsia="zh-CN" w:bidi="ar-SA"/>
              </w:rPr>
              <w:t>，</w:t>
            </w:r>
            <w:r>
              <w:rPr>
                <w:rFonts w:hint="eastAsia" w:ascii="宋体" w:hAnsi="宋体" w:eastAsia="宋体" w:cs="宋体"/>
                <w:b w:val="0"/>
                <w:bCs/>
                <w:color w:val="auto"/>
                <w:kern w:val="0"/>
                <w:sz w:val="24"/>
                <w:szCs w:val="24"/>
                <w:highlight w:val="none"/>
                <w:lang w:val="en-US" w:eastAsia="en-US" w:bidi="ar-SA"/>
              </w:rPr>
              <w:t>否则该人员不得分。</w:t>
            </w:r>
          </w:p>
        </w:tc>
        <w:tc>
          <w:tcPr>
            <w:tcW w:w="122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4948D16">
            <w:pPr>
              <w:widowControl/>
              <w:spacing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4</w:t>
            </w:r>
          </w:p>
        </w:tc>
      </w:tr>
      <w:tr w14:paraId="4859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Merge w:val="continue"/>
            <w:tcBorders>
              <w:left w:val="single" w:color="000000" w:sz="2" w:space="0"/>
              <w:right w:val="single" w:color="000000" w:sz="2" w:space="0"/>
            </w:tcBorders>
            <w:noWrap/>
            <w:tcMar>
              <w:top w:w="100" w:type="dxa"/>
              <w:bottom w:w="100" w:type="dxa"/>
            </w:tcMar>
            <w:vAlign w:val="center"/>
          </w:tcPr>
          <w:p w14:paraId="7DB2069E">
            <w:pPr>
              <w:widowControl/>
              <w:spacing w:line="360" w:lineRule="auto"/>
              <w:jc w:val="center"/>
              <w:rPr>
                <w:rFonts w:hint="eastAsia" w:ascii="宋体" w:hAnsi="宋体" w:eastAsia="宋体" w:cs="宋体"/>
                <w:b w:val="0"/>
                <w:bCs/>
                <w:color w:val="auto"/>
                <w:kern w:val="0"/>
                <w:sz w:val="24"/>
                <w:szCs w:val="24"/>
                <w:highlight w:val="none"/>
                <w:lang w:val="en-US" w:eastAsia="en-US" w:bidi="ar-SA"/>
              </w:rPr>
            </w:pPr>
          </w:p>
        </w:tc>
        <w:tc>
          <w:tcPr>
            <w:tcW w:w="11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F923B8B">
            <w:pPr>
              <w:widowControl/>
              <w:spacing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企业实力</w:t>
            </w:r>
          </w:p>
        </w:tc>
        <w:tc>
          <w:tcPr>
            <w:tcW w:w="46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DAA453D">
            <w:pPr>
              <w:widowControl/>
              <w:spacing w:line="360" w:lineRule="auto"/>
              <w:ind w:left="0" w:leftChars="0" w:firstLine="0" w:firstLineChars="0"/>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投标人具备以下有效的资质：</w:t>
            </w:r>
          </w:p>
          <w:p w14:paraId="1556D78C">
            <w:pPr>
              <w:widowControl/>
              <w:spacing w:line="360" w:lineRule="auto"/>
              <w:ind w:left="0" w:leftChars="0" w:firstLine="0" w:firstLineChars="0"/>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1.电信服务：具备增值电信业务经营许可证，得2分；</w:t>
            </w:r>
          </w:p>
          <w:p w14:paraId="34206C41">
            <w:pPr>
              <w:widowControl/>
              <w:spacing w:line="360" w:lineRule="auto"/>
              <w:ind w:left="0" w:leftChars="0" w:firstLine="0" w:firstLineChars="0"/>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2.基础认证：具备ISO9001质量管理体系认证、ISO27001信息安全管理体系认证，每提供1项得1分，本项满分2分；</w:t>
            </w:r>
          </w:p>
          <w:p w14:paraId="569F507E">
            <w:pPr>
              <w:widowControl/>
              <w:spacing w:line="360" w:lineRule="auto"/>
              <w:jc w:val="center"/>
              <w:rPr>
                <w:rFonts w:hint="eastAsia" w:ascii="宋体" w:hAnsi="宋体" w:eastAsia="宋体" w:cs="宋体"/>
                <w:b w:val="0"/>
                <w:bCs/>
                <w:color w:val="auto"/>
                <w:kern w:val="0"/>
                <w:sz w:val="24"/>
                <w:szCs w:val="24"/>
                <w:highlight w:val="none"/>
                <w:lang w:val="en-US" w:eastAsia="en-US" w:bidi="ar-SA"/>
              </w:rPr>
            </w:pPr>
            <w:r>
              <w:rPr>
                <w:rFonts w:hint="eastAsia" w:ascii="宋体" w:hAnsi="宋体" w:eastAsia="宋体" w:cs="宋体"/>
                <w:b w:val="0"/>
                <w:bCs/>
                <w:color w:val="auto"/>
                <w:kern w:val="0"/>
                <w:sz w:val="24"/>
                <w:szCs w:val="24"/>
                <w:highlight w:val="none"/>
                <w:lang w:val="en-US" w:eastAsia="zh-CN" w:bidi="ar-SA"/>
              </w:rPr>
              <w:t>均提供证书复印件加盖公章，否则不得分。</w:t>
            </w:r>
          </w:p>
        </w:tc>
        <w:tc>
          <w:tcPr>
            <w:tcW w:w="122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42DC572">
            <w:pPr>
              <w:widowControl/>
              <w:spacing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4</w:t>
            </w:r>
          </w:p>
        </w:tc>
      </w:tr>
      <w:tr w14:paraId="5EFE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Merge w:val="continue"/>
            <w:tcBorders>
              <w:left w:val="single" w:color="000000" w:sz="2" w:space="0"/>
              <w:right w:val="single" w:color="000000" w:sz="2" w:space="0"/>
            </w:tcBorders>
            <w:noWrap/>
            <w:tcMar>
              <w:top w:w="100" w:type="dxa"/>
              <w:bottom w:w="100" w:type="dxa"/>
            </w:tcMar>
            <w:vAlign w:val="center"/>
          </w:tcPr>
          <w:p w14:paraId="3017D67B">
            <w:pPr>
              <w:widowControl/>
              <w:spacing w:line="360" w:lineRule="auto"/>
              <w:jc w:val="center"/>
              <w:rPr>
                <w:rFonts w:hint="eastAsia" w:ascii="宋体" w:hAnsi="宋体" w:eastAsia="宋体" w:cs="宋体"/>
                <w:b w:val="0"/>
                <w:bCs/>
                <w:color w:val="auto"/>
                <w:kern w:val="0"/>
                <w:sz w:val="24"/>
                <w:szCs w:val="24"/>
                <w:highlight w:val="none"/>
                <w:lang w:val="en-US" w:eastAsia="en-US" w:bidi="ar-SA"/>
              </w:rPr>
            </w:pPr>
          </w:p>
        </w:tc>
        <w:tc>
          <w:tcPr>
            <w:tcW w:w="11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7A7CD1A">
            <w:pPr>
              <w:widowControl/>
              <w:spacing w:line="360" w:lineRule="auto"/>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心理援助热线系统相关软件著作权</w:t>
            </w:r>
          </w:p>
        </w:tc>
        <w:tc>
          <w:tcPr>
            <w:tcW w:w="46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F0594CA">
            <w:pPr>
              <w:widowControl/>
              <w:spacing w:line="360" w:lineRule="auto"/>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供应商具备计算机软件著作权登记证书，或提供第三方完整合法授权（含二次开发、项目使用权限）；每提供1份与本项目业务模块对应的软件著作权证书得2分，最高10分。（注：投标文件需附著作权证书，同时简要说明该著作权软件对应的本项目业务功能；不要求软件著作权名称文字完全一致，以实际业务功能匹配为准。软件著作权须为国家版权局颁发，著作权人须为供应商（全称一致），提供证书复印件加盖公章，否则不得分。）</w:t>
            </w:r>
          </w:p>
        </w:tc>
        <w:tc>
          <w:tcPr>
            <w:tcW w:w="122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FCF2DCD">
            <w:pPr>
              <w:widowControl/>
              <w:spacing w:line="360" w:lineRule="auto"/>
              <w:jc w:val="center"/>
              <w:rPr>
                <w:rFonts w:hint="default"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10</w:t>
            </w:r>
          </w:p>
        </w:tc>
      </w:tr>
      <w:tr w14:paraId="0386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3ECBC96">
            <w:pPr>
              <w:widowControl/>
              <w:spacing w:line="360" w:lineRule="auto"/>
              <w:ind w:left="0" w:leftChars="0" w:firstLine="0" w:firstLineChars="0"/>
              <w:jc w:val="left"/>
              <w:rPr>
                <w:rFonts w:hint="eastAsia" w:ascii="宋体" w:hAnsi="宋体" w:eastAsia="宋体" w:cs="宋体"/>
                <w:b w:val="0"/>
                <w:bCs/>
                <w:color w:val="auto"/>
                <w:kern w:val="0"/>
                <w:sz w:val="24"/>
                <w:szCs w:val="24"/>
                <w:lang w:val="en-US" w:eastAsia="en-US" w:bidi="ar-SA"/>
              </w:rPr>
            </w:pPr>
            <w:r>
              <w:rPr>
                <w:rFonts w:hint="eastAsia" w:ascii="宋体" w:hAnsi="宋体" w:eastAsia="宋体" w:cs="宋体"/>
                <w:b w:val="0"/>
                <w:bCs/>
                <w:color w:val="auto"/>
                <w:kern w:val="0"/>
                <w:sz w:val="24"/>
                <w:szCs w:val="24"/>
                <w:lang w:val="en-US" w:eastAsia="en-US" w:bidi="ar-SA"/>
              </w:rPr>
              <w:t>价格分（</w:t>
            </w:r>
            <w:r>
              <w:rPr>
                <w:rFonts w:hint="eastAsia" w:ascii="宋体" w:hAnsi="宋体" w:eastAsia="宋体" w:cs="宋体"/>
                <w:b w:val="0"/>
                <w:bCs/>
                <w:color w:val="auto"/>
                <w:kern w:val="0"/>
                <w:sz w:val="24"/>
                <w:szCs w:val="24"/>
                <w:lang w:val="en-US" w:eastAsia="zh-CN" w:bidi="ar-SA"/>
              </w:rPr>
              <w:t>10</w:t>
            </w:r>
            <w:r>
              <w:rPr>
                <w:rFonts w:hint="eastAsia" w:ascii="宋体" w:hAnsi="宋体" w:eastAsia="宋体" w:cs="宋体"/>
                <w:b w:val="0"/>
                <w:bCs/>
                <w:color w:val="auto"/>
                <w:kern w:val="0"/>
                <w:sz w:val="24"/>
                <w:szCs w:val="24"/>
                <w:lang w:val="en-US" w:eastAsia="en-US" w:bidi="ar-SA"/>
              </w:rPr>
              <w:t>）</w:t>
            </w:r>
          </w:p>
        </w:tc>
        <w:tc>
          <w:tcPr>
            <w:tcW w:w="11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0F17739">
            <w:pPr>
              <w:widowControl/>
              <w:spacing w:line="360" w:lineRule="auto"/>
              <w:ind w:left="0" w:leftChars="0" w:firstLine="0" w:firstLineChars="0"/>
              <w:jc w:val="left"/>
              <w:rPr>
                <w:rFonts w:hint="eastAsia" w:ascii="宋体" w:hAnsi="宋体" w:eastAsia="宋体" w:cs="宋体"/>
                <w:b w:val="0"/>
                <w:bCs/>
                <w:color w:val="auto"/>
                <w:kern w:val="0"/>
                <w:sz w:val="24"/>
                <w:szCs w:val="24"/>
                <w:lang w:val="en-US" w:eastAsia="en-US" w:bidi="ar-SA"/>
              </w:rPr>
            </w:pPr>
            <w:r>
              <w:rPr>
                <w:rFonts w:hint="eastAsia" w:ascii="宋体" w:hAnsi="宋体" w:eastAsia="宋体" w:cs="宋体"/>
                <w:b w:val="0"/>
                <w:bCs/>
                <w:color w:val="auto"/>
                <w:kern w:val="0"/>
                <w:sz w:val="24"/>
                <w:szCs w:val="24"/>
                <w:lang w:val="en-US" w:eastAsia="en-US" w:bidi="ar-SA"/>
              </w:rPr>
              <w:t>投标报价</w:t>
            </w:r>
          </w:p>
        </w:tc>
        <w:tc>
          <w:tcPr>
            <w:tcW w:w="46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D53B4FA">
            <w:pPr>
              <w:pStyle w:val="3"/>
              <w:widowControl/>
              <w:ind w:firstLineChars="0"/>
              <w:rPr>
                <w:rFonts w:hint="eastAsia" w:ascii="宋体" w:hAnsi="宋体" w:eastAsia="宋体" w:cs="宋体"/>
                <w:b w:val="0"/>
                <w:bCs/>
                <w:color w:val="auto"/>
                <w:kern w:val="0"/>
                <w:sz w:val="24"/>
                <w:szCs w:val="24"/>
                <w:lang w:val="en-US" w:eastAsia="en-US" w:bidi="ar-SA"/>
              </w:rPr>
            </w:pPr>
            <w:r>
              <w:rPr>
                <w:rFonts w:hint="eastAsia" w:ascii="宋体" w:hAnsi="宋体" w:cs="宋体"/>
                <w:sz w:val="24"/>
              </w:rPr>
              <w:t>价格分统一采用低价优先法计算，即满足公告要求且最后报价最低的供应商的价格为比选基准价，其价格分为满分</w:t>
            </w:r>
            <w:r>
              <w:rPr>
                <w:rFonts w:hint="eastAsia" w:ascii="宋体" w:hAnsi="宋体" w:cs="宋体"/>
                <w:sz w:val="24"/>
                <w:lang w:val="en-US" w:eastAsia="zh-CN"/>
              </w:rPr>
              <w:t>1</w:t>
            </w:r>
            <w:r>
              <w:rPr>
                <w:rFonts w:hint="eastAsia" w:ascii="宋体" w:hAnsi="宋体" w:cs="宋体"/>
                <w:sz w:val="24"/>
              </w:rPr>
              <w:t>0分；其他供应商的价格分统一按照下列公式计算：报价得分=（比选基准价/报价）×</w:t>
            </w:r>
            <w:r>
              <w:rPr>
                <w:rFonts w:hint="eastAsia" w:ascii="宋体" w:hAnsi="宋体" w:cs="宋体"/>
                <w:sz w:val="24"/>
                <w:lang w:val="en-US" w:eastAsia="zh-CN"/>
              </w:rPr>
              <w:t>1</w:t>
            </w:r>
            <w:r>
              <w:rPr>
                <w:rFonts w:hint="eastAsia" w:ascii="宋体" w:hAnsi="宋体" w:cs="宋体"/>
                <w:sz w:val="24"/>
              </w:rPr>
              <w:t>0。</w:t>
            </w:r>
          </w:p>
        </w:tc>
        <w:tc>
          <w:tcPr>
            <w:tcW w:w="122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39C78F4">
            <w:pPr>
              <w:widowControl/>
              <w:spacing w:line="360" w:lineRule="auto"/>
              <w:ind w:firstLine="240" w:firstLineChars="100"/>
              <w:jc w:val="left"/>
              <w:rPr>
                <w:rFonts w:hint="eastAsia" w:ascii="宋体" w:hAnsi="宋体" w:eastAsia="宋体" w:cs="宋体"/>
                <w:b w:val="0"/>
                <w:bCs/>
                <w:color w:val="auto"/>
                <w:kern w:val="0"/>
                <w:sz w:val="24"/>
                <w:szCs w:val="24"/>
                <w:lang w:val="en-US" w:eastAsia="en-US" w:bidi="ar-SA"/>
              </w:rPr>
            </w:pPr>
            <w:r>
              <w:rPr>
                <w:rFonts w:hint="eastAsia" w:ascii="宋体" w:hAnsi="宋体" w:eastAsia="宋体" w:cs="宋体"/>
                <w:b w:val="0"/>
                <w:bCs/>
                <w:color w:val="auto"/>
                <w:kern w:val="0"/>
                <w:sz w:val="24"/>
                <w:szCs w:val="24"/>
                <w:lang w:val="en-US" w:eastAsia="zh-CN" w:bidi="ar-SA"/>
              </w:rPr>
              <w:t>10</w:t>
            </w:r>
          </w:p>
        </w:tc>
      </w:tr>
      <w:tr w14:paraId="4665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dxa"/>
            <w:gridSpan w:val="2"/>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8CD18C6">
            <w:pPr>
              <w:widowControl/>
              <w:spacing w:line="360" w:lineRule="auto"/>
              <w:jc w:val="left"/>
              <w:rPr>
                <w:rFonts w:hint="eastAsia" w:ascii="宋体" w:hAnsi="宋体" w:eastAsia="宋体" w:cs="宋体"/>
                <w:b w:val="0"/>
                <w:bCs/>
                <w:color w:val="auto"/>
                <w:kern w:val="0"/>
                <w:sz w:val="24"/>
                <w:szCs w:val="24"/>
                <w:lang w:val="en-US" w:eastAsia="en-US" w:bidi="ar-SA"/>
              </w:rPr>
            </w:pPr>
            <w:r>
              <w:rPr>
                <w:rFonts w:hint="eastAsia" w:ascii="宋体" w:hAnsi="宋体" w:eastAsia="宋体" w:cs="宋体"/>
                <w:b w:val="0"/>
                <w:bCs/>
                <w:color w:val="auto"/>
                <w:kern w:val="0"/>
                <w:sz w:val="24"/>
                <w:szCs w:val="24"/>
                <w:lang w:val="en-US" w:eastAsia="en-US" w:bidi="ar-SA"/>
              </w:rPr>
              <w:t>得分</w:t>
            </w:r>
          </w:p>
        </w:tc>
        <w:tc>
          <w:tcPr>
            <w:tcW w:w="4684"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52A794A">
            <w:pPr>
              <w:widowControl/>
              <w:spacing w:line="360" w:lineRule="auto"/>
              <w:jc w:val="left"/>
              <w:rPr>
                <w:rFonts w:hint="eastAsia" w:ascii="宋体" w:hAnsi="宋体" w:eastAsia="宋体" w:cs="宋体"/>
                <w:b w:val="0"/>
                <w:bCs/>
                <w:color w:val="auto"/>
                <w:kern w:val="0"/>
                <w:sz w:val="24"/>
                <w:szCs w:val="24"/>
                <w:lang w:val="en-US" w:eastAsia="en-US" w:bidi="ar-SA"/>
              </w:rPr>
            </w:pPr>
            <w:r>
              <w:rPr>
                <w:rFonts w:hint="eastAsia" w:ascii="宋体" w:hAnsi="宋体" w:eastAsia="宋体" w:cs="宋体"/>
                <w:b w:val="0"/>
                <w:bCs/>
                <w:color w:val="auto"/>
                <w:kern w:val="0"/>
                <w:sz w:val="24"/>
                <w:szCs w:val="24"/>
                <w:lang w:val="en-US" w:eastAsia="en-US" w:bidi="ar-SA"/>
              </w:rPr>
              <w:t>100.0</w:t>
            </w:r>
          </w:p>
        </w:tc>
        <w:tc>
          <w:tcPr>
            <w:tcW w:w="122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8C7FE4E">
            <w:pPr>
              <w:widowControl/>
              <w:spacing w:line="360" w:lineRule="auto"/>
              <w:jc w:val="left"/>
              <w:rPr>
                <w:rFonts w:hint="eastAsia" w:ascii="宋体" w:hAnsi="宋体" w:eastAsia="宋体" w:cs="宋体"/>
                <w:b w:val="0"/>
                <w:bCs/>
                <w:color w:val="auto"/>
                <w:kern w:val="0"/>
                <w:sz w:val="24"/>
                <w:szCs w:val="24"/>
                <w:lang w:val="en-US" w:eastAsia="en-US" w:bidi="ar-SA"/>
              </w:rPr>
            </w:pPr>
          </w:p>
        </w:tc>
      </w:tr>
    </w:tbl>
    <w:p w14:paraId="7CF106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C8C5BB"/>
    <w:multiLevelType w:val="multilevel"/>
    <w:tmpl w:val="FFC8C5BB"/>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pStyle w:val="2"/>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DF6290"/>
    <w:rsid w:val="0F7A4FDA"/>
    <w:rsid w:val="166D2FA1"/>
    <w:rsid w:val="1CF07E01"/>
    <w:rsid w:val="2255582A"/>
    <w:rsid w:val="233649D3"/>
    <w:rsid w:val="25321EBD"/>
    <w:rsid w:val="2DF83A39"/>
    <w:rsid w:val="33CF5384"/>
    <w:rsid w:val="40313BFC"/>
    <w:rsid w:val="4CB848EB"/>
    <w:rsid w:val="69185D7B"/>
    <w:rsid w:val="6AA91C56"/>
    <w:rsid w:val="6C1237AA"/>
    <w:rsid w:val="6EDF6290"/>
    <w:rsid w:val="76727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numPr>
        <w:ilvl w:val="2"/>
        <w:numId w:val="1"/>
      </w:numPr>
      <w:spacing w:before="0" w:beforeAutospacing="1" w:after="0" w:afterAutospacing="1"/>
      <w:ind w:left="720" w:hanging="720"/>
      <w:jc w:val="left"/>
      <w:outlineLvl w:val="2"/>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1"/>
    <w:pPr>
      <w:autoSpaceDE w:val="0"/>
      <w:autoSpaceDN w:val="0"/>
      <w:spacing w:before="43"/>
      <w:ind w:left="118"/>
      <w:jc w:val="left"/>
    </w:pPr>
    <w:rPr>
      <w:rFonts w:ascii="宋体" w:hAnsi="宋体" w:eastAsia="宋体" w:cs="宋体"/>
      <w:kern w:val="0"/>
      <w:sz w:val="16"/>
      <w:szCs w:val="16"/>
      <w:lang w:val="zh-CN" w:bidi="zh-CN"/>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rFonts w:eastAsia="黑体"/>
      <w:bCs/>
    </w:rPr>
  </w:style>
  <w:style w:type="paragraph" w:customStyle="1" w:styleId="10">
    <w:name w:val="正文1"/>
    <w:qFormat/>
    <w:uiPriority w:val="0"/>
    <w:pPr>
      <w:spacing w:line="360" w:lineRule="auto"/>
      <w:ind w:firstLine="200" w:firstLineChars="200"/>
    </w:pPr>
    <w:rPr>
      <w:rFonts w:ascii="宋体" w:hAnsi="宋体" w:eastAsia="宋体" w:cs="宋体"/>
      <w:kern w:val="2"/>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1793</Words>
  <Characters>1862</Characters>
  <Lines>0</Lines>
  <Paragraphs>0</Paragraphs>
  <TotalTime>0</TotalTime>
  <ScaleCrop>false</ScaleCrop>
  <LinksUpToDate>false</LinksUpToDate>
  <CharactersWithSpaces>1882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2026-08-17T03:31:00Z</dcterms:created>
  <dc:creator>K</dc:creator>
  <cp:lastModifiedBy>鱼</cp:lastModifiedBy>
  <dcterms:modified xsi:type="dcterms:W3CDTF">2026-09-01T01:49:49Z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FCBD33481BAE457C8DDB9FF5DB079F46_13</vt:lpwstr>
  </property>
  <property fmtid="{D5CDD505-2E9C-101B-9397-08002B2CF9AE}" pid="4" name="KSOTemplateDocerSaveRecord">
    <vt:lpwstr>eyJoZGlkIjoiYTE2NGYzMTNiZmM1ZmFiZmM0MDIzODYxNzJiNTE0ZmIiLCJ1c2VySWQiOiIzNjc0MTA2MzgifQ==</vt:lpwstr>
  </property>
</Properties>
</file>