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FBB2B">
      <w:pPr>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附件3</w:t>
      </w:r>
      <w:r>
        <w:rPr>
          <w:rFonts w:hint="eastAsia" w:ascii="宋体" w:hAnsi="宋体" w:cs="宋体"/>
          <w:kern w:val="2"/>
          <w:sz w:val="24"/>
          <w:szCs w:val="24"/>
          <w:lang w:val="en-US" w:eastAsia="zh-CN" w:bidi="ar"/>
        </w:rPr>
        <w:t>：</w:t>
      </w:r>
    </w:p>
    <w:p w14:paraId="087B0AE1">
      <w:pPr>
        <w:jc w:val="center"/>
        <w:rPr>
          <w:rFonts w:hint="default"/>
          <w:color w:val="auto"/>
          <w:sz w:val="40"/>
          <w:szCs w:val="40"/>
          <w:lang w:val="en-US" w:eastAsia="zh-CN"/>
        </w:rPr>
      </w:pPr>
      <w:bookmarkStart w:id="0" w:name="_Toc27871"/>
      <w:r>
        <w:rPr>
          <w:rFonts w:hint="eastAsia"/>
          <w:color w:val="auto"/>
          <w:sz w:val="40"/>
          <w:szCs w:val="40"/>
          <w:lang w:val="en-US" w:eastAsia="zh-CN"/>
        </w:rPr>
        <w:t>海南省安宁医院净水器维保服务单位比选项目</w:t>
      </w:r>
      <w:bookmarkEnd w:id="0"/>
      <w:r>
        <w:rPr>
          <w:rFonts w:hint="eastAsia"/>
          <w:color w:val="auto"/>
          <w:sz w:val="40"/>
          <w:szCs w:val="40"/>
          <w:lang w:val="en-US" w:eastAsia="zh-CN"/>
        </w:rPr>
        <w:t>综合评分</w:t>
      </w:r>
      <w:bookmarkStart w:id="1" w:name="_GoBack"/>
      <w:bookmarkEnd w:id="1"/>
      <w:r>
        <w:rPr>
          <w:rFonts w:hint="eastAsia"/>
          <w:color w:val="auto"/>
          <w:sz w:val="40"/>
          <w:szCs w:val="40"/>
          <w:lang w:val="en-US" w:eastAsia="zh-CN"/>
        </w:rPr>
        <w:t>表</w:t>
      </w:r>
    </w:p>
    <w:tbl>
      <w:tblPr>
        <w:tblStyle w:val="5"/>
        <w:tblpPr w:leftFromText="180" w:rightFromText="180" w:vertAnchor="text" w:horzAnchor="page" w:tblpX="1516" w:tblpY="603"/>
        <w:tblOverlap w:val="never"/>
        <w:tblW w:w="89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9"/>
        <w:gridCol w:w="945"/>
        <w:gridCol w:w="20"/>
        <w:gridCol w:w="879"/>
        <w:gridCol w:w="6048"/>
        <w:gridCol w:w="479"/>
      </w:tblGrid>
      <w:tr w14:paraId="5F8BE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8940" w:type="dxa"/>
            <w:gridSpan w:val="6"/>
            <w:tcBorders>
              <w:tl2br w:val="nil"/>
              <w:tr2bl w:val="nil"/>
            </w:tcBorders>
            <w:noWrap w:val="0"/>
            <w:vAlign w:val="center"/>
          </w:tcPr>
          <w:p w14:paraId="31C83D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rPr>
            </w:pPr>
            <w:r>
              <w:rPr>
                <w:rFonts w:hint="eastAsia" w:ascii="仿宋" w:hAnsi="仿宋" w:eastAsia="仿宋" w:cs="仿宋"/>
                <w:b/>
                <w:bCs/>
                <w:color w:val="auto"/>
                <w:sz w:val="24"/>
                <w:szCs w:val="24"/>
                <w:lang w:val="en-US" w:eastAsia="zh-CN"/>
              </w:rPr>
              <w:t>评分表</w:t>
            </w:r>
          </w:p>
        </w:tc>
      </w:tr>
      <w:tr w14:paraId="335AF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569" w:type="dxa"/>
            <w:tcBorders>
              <w:tl2br w:val="nil"/>
              <w:tr2bl w:val="nil"/>
            </w:tcBorders>
            <w:noWrap w:val="0"/>
            <w:vAlign w:val="center"/>
          </w:tcPr>
          <w:p w14:paraId="66CD57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序号</w:t>
            </w:r>
          </w:p>
        </w:tc>
        <w:tc>
          <w:tcPr>
            <w:tcW w:w="945" w:type="dxa"/>
            <w:tcBorders>
              <w:tl2br w:val="nil"/>
              <w:tr2bl w:val="nil"/>
            </w:tcBorders>
            <w:noWrap w:val="0"/>
            <w:vAlign w:val="center"/>
          </w:tcPr>
          <w:p w14:paraId="1ED3EB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评审内容</w:t>
            </w:r>
          </w:p>
        </w:tc>
        <w:tc>
          <w:tcPr>
            <w:tcW w:w="899" w:type="dxa"/>
            <w:gridSpan w:val="2"/>
            <w:tcBorders>
              <w:tl2br w:val="nil"/>
              <w:tr2bl w:val="nil"/>
            </w:tcBorders>
            <w:noWrap w:val="0"/>
            <w:vAlign w:val="center"/>
          </w:tcPr>
          <w:p w14:paraId="7E1F77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bCs/>
                <w:color w:val="auto"/>
                <w:sz w:val="18"/>
                <w:szCs w:val="18"/>
                <w:lang w:val="en-US" w:eastAsia="zh-CN"/>
              </w:rPr>
            </w:pPr>
            <w:r>
              <w:rPr>
                <w:rFonts w:hint="eastAsia" w:ascii="仿宋" w:hAnsi="仿宋" w:eastAsia="仿宋" w:cs="仿宋"/>
                <w:b/>
                <w:bCs/>
                <w:color w:val="auto"/>
                <w:sz w:val="18"/>
                <w:szCs w:val="18"/>
              </w:rPr>
              <w:t>评审</w:t>
            </w:r>
            <w:r>
              <w:rPr>
                <w:rFonts w:hint="eastAsia" w:ascii="仿宋" w:hAnsi="仿宋" w:eastAsia="仿宋" w:cs="仿宋"/>
                <w:b/>
                <w:bCs/>
                <w:color w:val="auto"/>
                <w:sz w:val="18"/>
                <w:szCs w:val="18"/>
                <w:lang w:val="en-US" w:eastAsia="zh-CN"/>
              </w:rPr>
              <w:t>因素</w:t>
            </w:r>
          </w:p>
        </w:tc>
        <w:tc>
          <w:tcPr>
            <w:tcW w:w="6048" w:type="dxa"/>
            <w:tcBorders>
              <w:tl2br w:val="nil"/>
              <w:tr2bl w:val="nil"/>
            </w:tcBorders>
            <w:noWrap w:val="0"/>
            <w:vAlign w:val="center"/>
          </w:tcPr>
          <w:p w14:paraId="5D51FE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评分标准</w:t>
            </w:r>
          </w:p>
        </w:tc>
        <w:tc>
          <w:tcPr>
            <w:tcW w:w="479" w:type="dxa"/>
            <w:tcBorders>
              <w:tl2br w:val="nil"/>
              <w:tr2bl w:val="nil"/>
            </w:tcBorders>
            <w:noWrap w:val="0"/>
            <w:vAlign w:val="center"/>
          </w:tcPr>
          <w:p w14:paraId="58AFB3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分值</w:t>
            </w:r>
          </w:p>
        </w:tc>
      </w:tr>
      <w:tr w14:paraId="22E0C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3" w:hRule="atLeast"/>
        </w:trPr>
        <w:tc>
          <w:tcPr>
            <w:tcW w:w="569" w:type="dxa"/>
            <w:vMerge w:val="restart"/>
            <w:tcBorders>
              <w:tl2br w:val="nil"/>
              <w:tr2bl w:val="nil"/>
            </w:tcBorders>
            <w:noWrap w:val="0"/>
            <w:vAlign w:val="center"/>
          </w:tcPr>
          <w:p w14:paraId="1146CD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rPr>
            </w:pPr>
            <w:r>
              <w:rPr>
                <w:rFonts w:hint="eastAsia" w:ascii="仿宋" w:hAnsi="仿宋" w:eastAsia="仿宋" w:cs="仿宋"/>
                <w:color w:val="auto"/>
                <w:sz w:val="18"/>
                <w:szCs w:val="18"/>
              </w:rPr>
              <w:t>1</w:t>
            </w:r>
          </w:p>
          <w:p w14:paraId="4CDFE0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p>
        </w:tc>
        <w:tc>
          <w:tcPr>
            <w:tcW w:w="945" w:type="dxa"/>
            <w:vMerge w:val="restart"/>
            <w:tcBorders>
              <w:tl2br w:val="nil"/>
              <w:tr2bl w:val="nil"/>
            </w:tcBorders>
            <w:noWrap w:val="0"/>
            <w:vAlign w:val="center"/>
          </w:tcPr>
          <w:p w14:paraId="7D8B3E1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技术部分（25分）</w:t>
            </w:r>
          </w:p>
        </w:tc>
        <w:tc>
          <w:tcPr>
            <w:tcW w:w="899" w:type="dxa"/>
            <w:gridSpan w:val="2"/>
            <w:tcBorders>
              <w:tl2br w:val="nil"/>
              <w:tr2bl w:val="nil"/>
            </w:tcBorders>
            <w:noWrap w:val="0"/>
            <w:vAlign w:val="center"/>
          </w:tcPr>
          <w:p w14:paraId="0DA866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sz w:val="18"/>
                <w:szCs w:val="18"/>
              </w:rPr>
              <w:t>项目实施方案</w:t>
            </w:r>
          </w:p>
        </w:tc>
        <w:tc>
          <w:tcPr>
            <w:tcW w:w="6048" w:type="dxa"/>
            <w:tcBorders>
              <w:tl2br w:val="nil"/>
              <w:tr2bl w:val="nil"/>
            </w:tcBorders>
            <w:noWrap w:val="0"/>
            <w:vAlign w:val="center"/>
          </w:tcPr>
          <w:p w14:paraId="6A90C4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jc w:val="both"/>
              <w:textAlignment w:val="auto"/>
              <w:rPr>
                <w:rFonts w:hint="eastAsia" w:ascii="仿宋" w:hAnsi="仿宋" w:eastAsia="仿宋" w:cs="仿宋"/>
                <w:sz w:val="18"/>
                <w:szCs w:val="18"/>
              </w:rPr>
            </w:pPr>
            <w:r>
              <w:rPr>
                <w:rFonts w:hint="eastAsia" w:ascii="仿宋" w:hAnsi="仿宋" w:eastAsia="仿宋" w:cs="仿宋"/>
                <w:sz w:val="18"/>
                <w:szCs w:val="18"/>
              </w:rPr>
              <w:t>供应商提供本项目净水机维保实施方案，须包含：①每年2次滤芯更换及月度巡检时间计划；②项目服务人员组织配置方案；③43台不同型号净水设备维保作业规程；④滤芯更换、水质检测作业工艺；⑤现场安全文明施工、院感防护措施；⑥故障报修处置、定期巡检工作机制。</w:t>
            </w:r>
          </w:p>
          <w:p w14:paraId="3CD828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jc w:val="both"/>
              <w:textAlignment w:val="auto"/>
              <w:rPr>
                <w:rFonts w:hint="eastAsia" w:ascii="仿宋" w:hAnsi="仿宋" w:eastAsia="仿宋" w:cs="仿宋"/>
                <w:color w:val="auto"/>
                <w:sz w:val="18"/>
                <w:szCs w:val="18"/>
                <w:lang w:val="en-US" w:eastAsia="zh-CN"/>
              </w:rPr>
            </w:pPr>
            <w:r>
              <w:rPr>
                <w:rFonts w:hint="eastAsia" w:ascii="仿宋" w:hAnsi="仿宋" w:eastAsia="仿宋" w:cs="仿宋"/>
                <w:sz w:val="18"/>
                <w:szCs w:val="18"/>
              </w:rPr>
              <w:t>6项要素齐全、内容贴合本项目、可落地得1</w:t>
            </w:r>
            <w:r>
              <w:rPr>
                <w:rFonts w:hint="eastAsia" w:ascii="仿宋" w:hAnsi="仿宋" w:eastAsia="仿宋" w:cs="仿宋"/>
                <w:sz w:val="18"/>
                <w:szCs w:val="18"/>
                <w:lang w:val="en-US" w:eastAsia="zh-CN"/>
              </w:rPr>
              <w:t>2</w:t>
            </w:r>
            <w:r>
              <w:rPr>
                <w:rFonts w:hint="eastAsia" w:ascii="仿宋" w:hAnsi="仿宋" w:eastAsia="仿宋" w:cs="仿宋"/>
                <w:sz w:val="18"/>
                <w:szCs w:val="18"/>
              </w:rPr>
              <w:t>分；每缺</w:t>
            </w:r>
            <w:r>
              <w:rPr>
                <w:rFonts w:hint="eastAsia" w:ascii="仿宋" w:hAnsi="仿宋" w:eastAsia="仿宋" w:cs="仿宋"/>
                <w:sz w:val="18"/>
                <w:szCs w:val="18"/>
                <w:lang w:val="en-US" w:eastAsia="zh-CN"/>
              </w:rPr>
              <w:t>少</w:t>
            </w:r>
            <w:r>
              <w:rPr>
                <w:rFonts w:hint="eastAsia" w:ascii="仿宋" w:hAnsi="仿宋" w:eastAsia="仿宋" w:cs="仿宋"/>
                <w:sz w:val="18"/>
                <w:szCs w:val="18"/>
              </w:rPr>
              <w:t>1项扣2分；</w:t>
            </w:r>
            <w:r>
              <w:rPr>
                <w:rFonts w:hint="eastAsia" w:ascii="仿宋" w:hAnsi="仿宋" w:eastAsia="仿宋" w:cs="仿宋"/>
                <w:sz w:val="18"/>
                <w:szCs w:val="18"/>
                <w:lang w:val="en-US" w:eastAsia="zh-CN"/>
              </w:rPr>
              <w:t>每一项有一处缺陷扣1分。</w:t>
            </w:r>
            <w:r>
              <w:rPr>
                <w:rFonts w:hint="eastAsia" w:ascii="仿宋" w:hAnsi="仿宋" w:eastAsia="仿宋" w:cs="仿宋"/>
                <w:sz w:val="18"/>
                <w:szCs w:val="18"/>
              </w:rPr>
              <w:t>（内容缺陷是指：①内容非专门针对本项目或不适用项目特性的情形或内容不够完整或缺少关键节点②套用其他项目方案或内容前后矛盾或涉及的规范及标准错误、不利于项目实施、不可能实现的情形等）。</w:t>
            </w:r>
          </w:p>
        </w:tc>
        <w:tc>
          <w:tcPr>
            <w:tcW w:w="479" w:type="dxa"/>
            <w:tcBorders>
              <w:tl2br w:val="nil"/>
              <w:tr2bl w:val="nil"/>
            </w:tcBorders>
            <w:noWrap w:val="0"/>
            <w:vAlign w:val="center"/>
          </w:tcPr>
          <w:p w14:paraId="260300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sz w:val="18"/>
                <w:szCs w:val="18"/>
                <w:lang w:val="en-US" w:eastAsia="zh-CN"/>
              </w:rPr>
              <w:t>12</w:t>
            </w:r>
          </w:p>
        </w:tc>
      </w:tr>
      <w:tr w14:paraId="6EB23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569" w:type="dxa"/>
            <w:vMerge w:val="continue"/>
            <w:tcBorders>
              <w:tl2br w:val="nil"/>
              <w:tr2bl w:val="nil"/>
            </w:tcBorders>
            <w:noWrap w:val="0"/>
            <w:vAlign w:val="center"/>
          </w:tcPr>
          <w:p w14:paraId="2E802F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p>
        </w:tc>
        <w:tc>
          <w:tcPr>
            <w:tcW w:w="945" w:type="dxa"/>
            <w:vMerge w:val="continue"/>
            <w:tcBorders>
              <w:tl2br w:val="nil"/>
              <w:tr2bl w:val="nil"/>
            </w:tcBorders>
            <w:noWrap w:val="0"/>
            <w:vAlign w:val="center"/>
          </w:tcPr>
          <w:p w14:paraId="330022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color w:val="auto"/>
                <w:sz w:val="18"/>
                <w:szCs w:val="18"/>
              </w:rPr>
            </w:pPr>
          </w:p>
        </w:tc>
        <w:tc>
          <w:tcPr>
            <w:tcW w:w="899" w:type="dxa"/>
            <w:gridSpan w:val="2"/>
            <w:tcBorders>
              <w:tl2br w:val="nil"/>
              <w:tr2bl w:val="nil"/>
            </w:tcBorders>
            <w:noWrap w:val="0"/>
            <w:vAlign w:val="center"/>
          </w:tcPr>
          <w:p w14:paraId="326E25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kern w:val="2"/>
                <w:sz w:val="18"/>
                <w:szCs w:val="18"/>
                <w:lang w:val="en-US" w:eastAsia="zh-CN" w:bidi="ar-SA"/>
              </w:rPr>
            </w:pPr>
            <w:r>
              <w:rPr>
                <w:rFonts w:hint="eastAsia" w:ascii="仿宋" w:hAnsi="仿宋" w:eastAsia="仿宋" w:cs="仿宋"/>
                <w:b w:val="0"/>
                <w:bCs w:val="0"/>
                <w:caps w:val="0"/>
                <w:color w:val="auto"/>
                <w:spacing w:val="0"/>
                <w:sz w:val="18"/>
                <w:szCs w:val="18"/>
                <w:highlight w:val="none"/>
              </w:rPr>
              <w:t>应急处置方案</w:t>
            </w:r>
          </w:p>
        </w:tc>
        <w:tc>
          <w:tcPr>
            <w:tcW w:w="6048" w:type="dxa"/>
            <w:tcBorders>
              <w:tl2br w:val="nil"/>
              <w:tr2bl w:val="nil"/>
            </w:tcBorders>
            <w:noWrap w:val="0"/>
            <w:vAlign w:val="center"/>
          </w:tcPr>
          <w:p w14:paraId="4D8DB5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jc w:val="both"/>
              <w:textAlignment w:val="auto"/>
              <w:rPr>
                <w:rFonts w:hint="eastAsia" w:ascii="仿宋" w:hAnsi="仿宋" w:eastAsia="仿宋" w:cs="仿宋"/>
                <w:sz w:val="18"/>
                <w:szCs w:val="18"/>
              </w:rPr>
            </w:pPr>
            <w:r>
              <w:rPr>
                <w:rFonts w:hint="eastAsia" w:ascii="仿宋" w:hAnsi="仿宋" w:eastAsia="仿宋" w:cs="仿宋"/>
                <w:sz w:val="18"/>
                <w:szCs w:val="18"/>
              </w:rPr>
              <w:t>应急处置方案须包含：①设备突发故障人员调度安排；②24小时服务响应机制；③报修后3小时到场保障措施；④故障排查、维修恢复、临时供水应急措施。</w:t>
            </w:r>
          </w:p>
          <w:p w14:paraId="2D1FEB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jc w:val="both"/>
              <w:textAlignment w:val="auto"/>
              <w:rPr>
                <w:rFonts w:hint="eastAsia" w:ascii="仿宋" w:hAnsi="仿宋" w:eastAsia="仿宋" w:cs="仿宋"/>
                <w:kern w:val="2"/>
                <w:sz w:val="18"/>
                <w:szCs w:val="18"/>
                <w:lang w:val="en-US" w:eastAsia="zh-CN" w:bidi="ar-SA"/>
              </w:rPr>
            </w:pPr>
            <w:r>
              <w:rPr>
                <w:rFonts w:hint="eastAsia" w:ascii="仿宋" w:hAnsi="仿宋" w:eastAsia="仿宋" w:cs="仿宋"/>
                <w:sz w:val="18"/>
                <w:szCs w:val="18"/>
              </w:rPr>
              <w:t>4项要素齐全完整可行得</w:t>
            </w:r>
            <w:r>
              <w:rPr>
                <w:rFonts w:hint="eastAsia" w:ascii="仿宋" w:hAnsi="仿宋" w:eastAsia="仿宋" w:cs="仿宋"/>
                <w:sz w:val="18"/>
                <w:szCs w:val="18"/>
                <w:lang w:val="en-US" w:eastAsia="zh-CN"/>
              </w:rPr>
              <w:t>6</w:t>
            </w:r>
            <w:r>
              <w:rPr>
                <w:rFonts w:hint="eastAsia" w:ascii="仿宋" w:hAnsi="仿宋" w:eastAsia="仿宋" w:cs="仿宋"/>
                <w:sz w:val="18"/>
                <w:szCs w:val="18"/>
              </w:rPr>
              <w:t>分，每缺</w:t>
            </w:r>
            <w:r>
              <w:rPr>
                <w:rFonts w:hint="eastAsia" w:ascii="仿宋" w:hAnsi="仿宋" w:eastAsia="仿宋" w:cs="仿宋"/>
                <w:sz w:val="18"/>
                <w:szCs w:val="18"/>
                <w:lang w:val="en-US" w:eastAsia="zh-CN"/>
              </w:rPr>
              <w:t>少</w:t>
            </w:r>
            <w:r>
              <w:rPr>
                <w:rFonts w:hint="eastAsia" w:ascii="仿宋" w:hAnsi="仿宋" w:eastAsia="仿宋" w:cs="仿宋"/>
                <w:sz w:val="18"/>
                <w:szCs w:val="18"/>
              </w:rPr>
              <w:t>1项扣</w:t>
            </w:r>
            <w:r>
              <w:rPr>
                <w:rFonts w:hint="eastAsia" w:ascii="仿宋" w:hAnsi="仿宋" w:eastAsia="仿宋" w:cs="仿宋"/>
                <w:sz w:val="18"/>
                <w:szCs w:val="18"/>
                <w:lang w:val="en-US" w:eastAsia="zh-CN"/>
              </w:rPr>
              <w:t>1.5</w:t>
            </w:r>
            <w:r>
              <w:rPr>
                <w:rFonts w:hint="eastAsia" w:ascii="仿宋" w:hAnsi="仿宋" w:eastAsia="仿宋" w:cs="仿宋"/>
                <w:sz w:val="18"/>
                <w:szCs w:val="18"/>
              </w:rPr>
              <w:t>分；</w:t>
            </w:r>
            <w:r>
              <w:rPr>
                <w:rFonts w:hint="eastAsia" w:ascii="仿宋" w:hAnsi="仿宋" w:eastAsia="仿宋" w:cs="仿宋"/>
                <w:sz w:val="18"/>
                <w:szCs w:val="18"/>
                <w:lang w:val="en-US" w:eastAsia="zh-CN"/>
              </w:rPr>
              <w:t>每一项有一处缺陷扣0.5分。</w:t>
            </w:r>
            <w:r>
              <w:rPr>
                <w:rFonts w:hint="eastAsia" w:ascii="仿宋" w:hAnsi="仿宋" w:eastAsia="仿宋" w:cs="仿宋"/>
                <w:sz w:val="18"/>
                <w:szCs w:val="18"/>
              </w:rPr>
              <w:t>（内容缺陷是指：①内容非专门针对本项目或不适用项目特性的情形或内容不够完整或缺少关键节点②套用其他项目方案或内容前后矛盾或涉及的规范及标准错误、不利于项目实施、不可能实现的情形等）。</w:t>
            </w:r>
          </w:p>
        </w:tc>
        <w:tc>
          <w:tcPr>
            <w:tcW w:w="479" w:type="dxa"/>
            <w:tcBorders>
              <w:tl2br w:val="nil"/>
              <w:tr2bl w:val="nil"/>
            </w:tcBorders>
            <w:noWrap w:val="0"/>
            <w:vAlign w:val="center"/>
          </w:tcPr>
          <w:p w14:paraId="3EE9E2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6</w:t>
            </w:r>
          </w:p>
        </w:tc>
      </w:tr>
      <w:tr w14:paraId="3D3B5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569" w:type="dxa"/>
            <w:vMerge w:val="continue"/>
            <w:tcBorders>
              <w:tl2br w:val="nil"/>
              <w:tr2bl w:val="nil"/>
            </w:tcBorders>
            <w:noWrap w:val="0"/>
            <w:vAlign w:val="center"/>
          </w:tcPr>
          <w:p w14:paraId="57A6CE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p>
        </w:tc>
        <w:tc>
          <w:tcPr>
            <w:tcW w:w="945" w:type="dxa"/>
            <w:vMerge w:val="continue"/>
            <w:tcBorders>
              <w:tl2br w:val="nil"/>
              <w:tr2bl w:val="nil"/>
            </w:tcBorders>
            <w:noWrap w:val="0"/>
            <w:vAlign w:val="center"/>
          </w:tcPr>
          <w:p w14:paraId="18A969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color w:val="auto"/>
                <w:sz w:val="18"/>
                <w:szCs w:val="18"/>
              </w:rPr>
            </w:pPr>
          </w:p>
        </w:tc>
        <w:tc>
          <w:tcPr>
            <w:tcW w:w="899" w:type="dxa"/>
            <w:gridSpan w:val="2"/>
            <w:tcBorders>
              <w:tl2br w:val="nil"/>
              <w:tr2bl w:val="nil"/>
            </w:tcBorders>
            <w:noWrap w:val="0"/>
            <w:vAlign w:val="center"/>
          </w:tcPr>
          <w:p w14:paraId="02D9D2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val="0"/>
                <w:bCs w:val="0"/>
                <w:caps w:val="0"/>
                <w:color w:val="auto"/>
                <w:spacing w:val="0"/>
                <w:kern w:val="2"/>
                <w:sz w:val="18"/>
                <w:szCs w:val="18"/>
                <w:highlight w:val="none"/>
                <w:lang w:val="en-US" w:eastAsia="zh-CN" w:bidi="ar-SA"/>
              </w:rPr>
            </w:pPr>
            <w:r>
              <w:rPr>
                <w:rFonts w:hint="eastAsia" w:ascii="仿宋" w:hAnsi="仿宋" w:eastAsia="仿宋" w:cs="仿宋"/>
                <w:b w:val="0"/>
                <w:bCs w:val="0"/>
                <w:caps w:val="0"/>
                <w:color w:val="auto"/>
                <w:spacing w:val="0"/>
                <w:sz w:val="18"/>
                <w:szCs w:val="18"/>
                <w:highlight w:val="none"/>
              </w:rPr>
              <w:t>拟投入设备</w:t>
            </w:r>
          </w:p>
        </w:tc>
        <w:tc>
          <w:tcPr>
            <w:tcW w:w="6048" w:type="dxa"/>
            <w:tcBorders>
              <w:tl2br w:val="nil"/>
              <w:tr2bl w:val="nil"/>
            </w:tcBorders>
            <w:noWrap w:val="0"/>
            <w:vAlign w:val="center"/>
          </w:tcPr>
          <w:p w14:paraId="720CC8A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jc w:val="both"/>
              <w:textAlignment w:val="auto"/>
              <w:rPr>
                <w:rFonts w:hint="eastAsia" w:ascii="仿宋" w:hAnsi="仿宋" w:eastAsia="仿宋" w:cs="仿宋"/>
                <w:b w:val="0"/>
                <w:bCs w:val="0"/>
                <w:caps w:val="0"/>
                <w:color w:val="auto"/>
                <w:spacing w:val="0"/>
                <w:kern w:val="0"/>
                <w:sz w:val="18"/>
                <w:szCs w:val="18"/>
                <w:highlight w:val="none"/>
                <w:lang w:val="en-US" w:eastAsia="zh-CN" w:bidi="ar-SA"/>
              </w:rPr>
            </w:pPr>
            <w:r>
              <w:rPr>
                <w:rFonts w:hint="eastAsia" w:ascii="仿宋" w:hAnsi="仿宋" w:eastAsia="仿宋" w:cs="仿宋"/>
                <w:b w:val="0"/>
                <w:bCs w:val="0"/>
                <w:caps w:val="0"/>
                <w:color w:val="auto"/>
                <w:spacing w:val="0"/>
                <w:sz w:val="18"/>
                <w:szCs w:val="18"/>
                <w:highlight w:val="none"/>
                <w:lang w:val="en-US" w:eastAsia="zh-CN"/>
              </w:rPr>
              <w:t>评审净水维保专用工具、水质检测工具、拆装工具、配件储备方案。方案完整、配置针对性强、科学合理得3分；基本符合得2分；部分符合得1分；完全不符合0分。</w:t>
            </w:r>
          </w:p>
        </w:tc>
        <w:tc>
          <w:tcPr>
            <w:tcW w:w="479" w:type="dxa"/>
            <w:tcBorders>
              <w:tl2br w:val="nil"/>
              <w:tr2bl w:val="nil"/>
            </w:tcBorders>
            <w:noWrap w:val="0"/>
            <w:vAlign w:val="center"/>
          </w:tcPr>
          <w:p w14:paraId="5096C0F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aps w:val="0"/>
                <w:color w:val="auto"/>
                <w:spacing w:val="0"/>
                <w:sz w:val="18"/>
                <w:szCs w:val="18"/>
                <w:highlight w:val="none"/>
                <w:lang w:val="en-US" w:eastAsia="zh-CN"/>
              </w:rPr>
              <w:t>3</w:t>
            </w:r>
          </w:p>
        </w:tc>
      </w:tr>
      <w:tr w14:paraId="0631D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7" w:hRule="atLeast"/>
        </w:trPr>
        <w:tc>
          <w:tcPr>
            <w:tcW w:w="569" w:type="dxa"/>
            <w:vMerge w:val="continue"/>
            <w:tcBorders>
              <w:tl2br w:val="nil"/>
              <w:tr2bl w:val="nil"/>
            </w:tcBorders>
            <w:noWrap w:val="0"/>
            <w:vAlign w:val="center"/>
          </w:tcPr>
          <w:p w14:paraId="47EB5A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p>
        </w:tc>
        <w:tc>
          <w:tcPr>
            <w:tcW w:w="945" w:type="dxa"/>
            <w:vMerge w:val="continue"/>
            <w:tcBorders>
              <w:tl2br w:val="nil"/>
              <w:tr2bl w:val="nil"/>
            </w:tcBorders>
            <w:noWrap w:val="0"/>
            <w:vAlign w:val="center"/>
          </w:tcPr>
          <w:p w14:paraId="466E90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color w:val="auto"/>
                <w:sz w:val="18"/>
                <w:szCs w:val="18"/>
              </w:rPr>
            </w:pPr>
          </w:p>
        </w:tc>
        <w:tc>
          <w:tcPr>
            <w:tcW w:w="899" w:type="dxa"/>
            <w:gridSpan w:val="2"/>
            <w:tcBorders>
              <w:tl2br w:val="nil"/>
              <w:tr2bl w:val="nil"/>
            </w:tcBorders>
            <w:noWrap w:val="0"/>
            <w:vAlign w:val="center"/>
          </w:tcPr>
          <w:p w14:paraId="3F00C6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val="0"/>
                <w:bCs w:val="0"/>
                <w:caps w:val="0"/>
                <w:color w:val="auto"/>
                <w:spacing w:val="0"/>
                <w:sz w:val="18"/>
                <w:szCs w:val="18"/>
                <w:highlight w:val="none"/>
              </w:rPr>
            </w:pPr>
            <w:r>
              <w:rPr>
                <w:rFonts w:hint="eastAsia" w:ascii="仿宋" w:hAnsi="仿宋" w:eastAsia="仿宋" w:cs="仿宋"/>
                <w:b w:val="0"/>
                <w:bCs w:val="0"/>
                <w:caps w:val="0"/>
                <w:color w:val="auto"/>
                <w:spacing w:val="0"/>
                <w:sz w:val="18"/>
                <w:szCs w:val="18"/>
                <w:highlight w:val="none"/>
              </w:rPr>
              <w:t>售后服务保障措施</w:t>
            </w:r>
          </w:p>
        </w:tc>
        <w:tc>
          <w:tcPr>
            <w:tcW w:w="6048" w:type="dxa"/>
            <w:tcBorders>
              <w:tl2br w:val="nil"/>
              <w:tr2bl w:val="nil"/>
            </w:tcBorders>
            <w:noWrap w:val="0"/>
            <w:vAlign w:val="center"/>
          </w:tcPr>
          <w:p w14:paraId="06C2F49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360" w:firstLineChars="200"/>
              <w:jc w:val="both"/>
              <w:textAlignment w:val="auto"/>
              <w:rPr>
                <w:rFonts w:hint="eastAsia" w:ascii="仿宋" w:hAnsi="仿宋" w:eastAsia="仿宋" w:cs="仿宋"/>
                <w:sz w:val="18"/>
                <w:szCs w:val="18"/>
              </w:rPr>
            </w:pPr>
            <w:r>
              <w:rPr>
                <w:rFonts w:hint="eastAsia" w:ascii="仿宋" w:hAnsi="仿宋" w:eastAsia="仿宋" w:cs="仿宋"/>
                <w:sz w:val="18"/>
                <w:szCs w:val="18"/>
              </w:rPr>
              <w:t>售后服务保障措施须包含：①滤芯及零配件供货质量保证措施；②现场维修作业安全、饮水安全保障措施；③24小时售后报修服务方式；④维保服务能力、质量管控机制。</w:t>
            </w:r>
          </w:p>
          <w:p w14:paraId="2690ADA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360" w:firstLineChars="200"/>
              <w:jc w:val="both"/>
              <w:textAlignment w:val="auto"/>
              <w:rPr>
                <w:rFonts w:hint="eastAsia" w:ascii="仿宋" w:hAnsi="仿宋" w:eastAsia="仿宋" w:cs="仿宋"/>
                <w:b w:val="0"/>
                <w:bCs w:val="0"/>
                <w:caps w:val="0"/>
                <w:color w:val="auto"/>
                <w:spacing w:val="0"/>
                <w:sz w:val="18"/>
                <w:szCs w:val="18"/>
                <w:highlight w:val="none"/>
                <w:lang w:val="en-US" w:eastAsia="zh-CN"/>
              </w:rPr>
            </w:pPr>
            <w:r>
              <w:rPr>
                <w:rFonts w:hint="eastAsia" w:ascii="仿宋" w:hAnsi="仿宋" w:eastAsia="仿宋" w:cs="仿宋"/>
                <w:sz w:val="18"/>
                <w:szCs w:val="18"/>
              </w:rPr>
              <w:t>4项要素齐全、切实可行得</w:t>
            </w:r>
            <w:r>
              <w:rPr>
                <w:rFonts w:hint="eastAsia" w:ascii="仿宋" w:hAnsi="仿宋" w:eastAsia="仿宋" w:cs="仿宋"/>
                <w:sz w:val="18"/>
                <w:szCs w:val="18"/>
                <w:lang w:val="en-US" w:eastAsia="zh-CN"/>
              </w:rPr>
              <w:t>4</w:t>
            </w:r>
            <w:r>
              <w:rPr>
                <w:rFonts w:hint="eastAsia" w:ascii="仿宋" w:hAnsi="仿宋" w:eastAsia="仿宋" w:cs="仿宋"/>
                <w:sz w:val="18"/>
                <w:szCs w:val="18"/>
              </w:rPr>
              <w:t>分；每缺</w:t>
            </w:r>
            <w:r>
              <w:rPr>
                <w:rFonts w:hint="eastAsia" w:ascii="仿宋" w:hAnsi="仿宋" w:eastAsia="仿宋" w:cs="仿宋"/>
                <w:sz w:val="18"/>
                <w:szCs w:val="18"/>
                <w:lang w:val="en-US" w:eastAsia="zh-CN"/>
              </w:rPr>
              <w:t>少</w:t>
            </w:r>
            <w:r>
              <w:rPr>
                <w:rFonts w:hint="eastAsia" w:ascii="仿宋" w:hAnsi="仿宋" w:eastAsia="仿宋" w:cs="仿宋"/>
                <w:sz w:val="18"/>
                <w:szCs w:val="18"/>
              </w:rPr>
              <w:t>1项扣</w:t>
            </w:r>
            <w:r>
              <w:rPr>
                <w:rFonts w:hint="eastAsia" w:ascii="仿宋" w:hAnsi="仿宋" w:eastAsia="仿宋" w:cs="仿宋"/>
                <w:sz w:val="18"/>
                <w:szCs w:val="18"/>
                <w:lang w:val="en-US" w:eastAsia="zh-CN"/>
              </w:rPr>
              <w:t>1</w:t>
            </w:r>
            <w:r>
              <w:rPr>
                <w:rFonts w:hint="eastAsia" w:ascii="仿宋" w:hAnsi="仿宋" w:eastAsia="仿宋" w:cs="仿宋"/>
                <w:sz w:val="18"/>
                <w:szCs w:val="18"/>
              </w:rPr>
              <w:t>分；</w:t>
            </w:r>
            <w:r>
              <w:rPr>
                <w:rFonts w:hint="eastAsia" w:ascii="仿宋" w:hAnsi="仿宋" w:eastAsia="仿宋" w:cs="仿宋"/>
                <w:sz w:val="18"/>
                <w:szCs w:val="18"/>
                <w:lang w:val="en-US" w:eastAsia="zh-CN"/>
              </w:rPr>
              <w:t>每一项有一处缺陷扣0.5分。</w:t>
            </w:r>
            <w:r>
              <w:rPr>
                <w:rFonts w:hint="eastAsia" w:ascii="仿宋" w:hAnsi="仿宋" w:eastAsia="仿宋" w:cs="仿宋"/>
                <w:sz w:val="18"/>
                <w:szCs w:val="18"/>
              </w:rPr>
              <w:t>（内容缺陷是指：内容非专门针对本项目或不适用项目特性的情形、内容不够完整或缺少关键节点、套用其他项目方案、内容前后矛盾、涉及的规范及标准错误、不利于项目实施、不可能实现的情形等任意一种情形）。</w:t>
            </w:r>
          </w:p>
        </w:tc>
        <w:tc>
          <w:tcPr>
            <w:tcW w:w="479" w:type="dxa"/>
            <w:tcBorders>
              <w:tl2br w:val="nil"/>
              <w:tr2bl w:val="nil"/>
            </w:tcBorders>
            <w:noWrap w:val="0"/>
            <w:vAlign w:val="center"/>
          </w:tcPr>
          <w:p w14:paraId="1491921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b w:val="0"/>
                <w:bCs w:val="0"/>
                <w:caps w:val="0"/>
                <w:color w:val="auto"/>
                <w:spacing w:val="0"/>
                <w:sz w:val="18"/>
                <w:szCs w:val="18"/>
                <w:highlight w:val="none"/>
                <w:lang w:val="en-US" w:eastAsia="zh-CN"/>
              </w:rPr>
            </w:pPr>
            <w:r>
              <w:rPr>
                <w:rFonts w:hint="eastAsia" w:ascii="仿宋" w:hAnsi="仿宋" w:eastAsia="仿宋" w:cs="仿宋"/>
                <w:b w:val="0"/>
                <w:bCs w:val="0"/>
                <w:caps w:val="0"/>
                <w:color w:val="auto"/>
                <w:spacing w:val="0"/>
                <w:sz w:val="18"/>
                <w:szCs w:val="18"/>
                <w:highlight w:val="none"/>
                <w:lang w:val="en-US" w:eastAsia="zh-CN"/>
              </w:rPr>
              <w:t>4</w:t>
            </w:r>
          </w:p>
        </w:tc>
      </w:tr>
      <w:tr w14:paraId="7E28F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569" w:type="dxa"/>
            <w:vMerge w:val="restart"/>
            <w:tcBorders>
              <w:tl2br w:val="nil"/>
              <w:tr2bl w:val="nil"/>
            </w:tcBorders>
            <w:noWrap w:val="0"/>
            <w:vAlign w:val="center"/>
          </w:tcPr>
          <w:p w14:paraId="0E8D8E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945" w:type="dxa"/>
            <w:vMerge w:val="restart"/>
            <w:tcBorders>
              <w:tl2br w:val="nil"/>
              <w:tr2bl w:val="nil"/>
            </w:tcBorders>
            <w:noWrap w:val="0"/>
            <w:vAlign w:val="center"/>
          </w:tcPr>
          <w:p w14:paraId="53C2A4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商务部分</w:t>
            </w:r>
          </w:p>
          <w:p w14:paraId="3FCDA1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eastAsia="zh-CN"/>
              </w:rPr>
            </w:pPr>
            <w:r>
              <w:rPr>
                <w:rFonts w:hint="eastAsia" w:ascii="仿宋" w:hAnsi="仿宋" w:eastAsia="仿宋" w:cs="仿宋"/>
                <w:color w:val="auto"/>
                <w:sz w:val="18"/>
                <w:szCs w:val="18"/>
                <w:lang w:val="en-US" w:eastAsia="zh-CN"/>
              </w:rPr>
              <w:t>（7分）</w:t>
            </w:r>
          </w:p>
        </w:tc>
        <w:tc>
          <w:tcPr>
            <w:tcW w:w="899" w:type="dxa"/>
            <w:gridSpan w:val="2"/>
            <w:tcBorders>
              <w:tl2br w:val="nil"/>
              <w:tr2bl w:val="nil"/>
            </w:tcBorders>
            <w:noWrap w:val="0"/>
            <w:vAlign w:val="center"/>
          </w:tcPr>
          <w:p w14:paraId="2DD47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团队成员</w:t>
            </w:r>
          </w:p>
        </w:tc>
        <w:tc>
          <w:tcPr>
            <w:tcW w:w="6048" w:type="dxa"/>
            <w:tcBorders>
              <w:tl2br w:val="nil"/>
              <w:tr2bl w:val="nil"/>
            </w:tcBorders>
            <w:noWrap w:val="0"/>
            <w:vAlign w:val="center"/>
          </w:tcPr>
          <w:p w14:paraId="12FCA5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jc w:val="both"/>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项目团队人员持有电工、水处理设备维修等相关资格证书，每提供1种有效证书得1分，最高4分。</w:t>
            </w:r>
          </w:p>
          <w:p w14:paraId="482515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jc w:val="both"/>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证明材料：开标前3个月内任意一月社保证明/劳务合同+证书扫描件，材料不全不得分。</w:t>
            </w:r>
          </w:p>
        </w:tc>
        <w:tc>
          <w:tcPr>
            <w:tcW w:w="479" w:type="dxa"/>
            <w:tcBorders>
              <w:tl2br w:val="nil"/>
              <w:tr2bl w:val="nil"/>
            </w:tcBorders>
            <w:noWrap w:val="0"/>
            <w:vAlign w:val="center"/>
          </w:tcPr>
          <w:p w14:paraId="26301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r>
      <w:tr w14:paraId="6C06F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569" w:type="dxa"/>
            <w:vMerge w:val="continue"/>
            <w:tcBorders>
              <w:tl2br w:val="nil"/>
              <w:tr2bl w:val="nil"/>
            </w:tcBorders>
            <w:noWrap w:val="0"/>
            <w:vAlign w:val="center"/>
          </w:tcPr>
          <w:p w14:paraId="5A7446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p>
        </w:tc>
        <w:tc>
          <w:tcPr>
            <w:tcW w:w="945" w:type="dxa"/>
            <w:vMerge w:val="continue"/>
            <w:tcBorders>
              <w:tl2br w:val="nil"/>
              <w:tr2bl w:val="nil"/>
            </w:tcBorders>
            <w:noWrap w:val="0"/>
            <w:vAlign w:val="center"/>
          </w:tcPr>
          <w:p w14:paraId="5BB2E0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p>
        </w:tc>
        <w:tc>
          <w:tcPr>
            <w:tcW w:w="899" w:type="dxa"/>
            <w:gridSpan w:val="2"/>
            <w:tcBorders>
              <w:tl2br w:val="nil"/>
              <w:tr2bl w:val="nil"/>
            </w:tcBorders>
            <w:noWrap w:val="0"/>
            <w:vAlign w:val="center"/>
          </w:tcPr>
          <w:p w14:paraId="7D8AE6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类似经验</w:t>
            </w:r>
          </w:p>
        </w:tc>
        <w:tc>
          <w:tcPr>
            <w:tcW w:w="6048" w:type="dxa"/>
            <w:tcBorders>
              <w:tl2br w:val="nil"/>
              <w:tr2bl w:val="nil"/>
            </w:tcBorders>
            <w:noWrap w:val="0"/>
            <w:vAlign w:val="center"/>
          </w:tcPr>
          <w:p w14:paraId="42A8C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360" w:firstLineChars="200"/>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2023年9月至今净水设备维保、饮水机维保同类项目业绩，每提供1个有效业绩得1.5分，最高3分。</w:t>
            </w:r>
          </w:p>
          <w:p w14:paraId="0F566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360" w:firstLineChars="200"/>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证明材料：合同或中标通知书复印件加盖公章。</w:t>
            </w:r>
          </w:p>
        </w:tc>
        <w:tc>
          <w:tcPr>
            <w:tcW w:w="479" w:type="dxa"/>
            <w:tcBorders>
              <w:tl2br w:val="nil"/>
              <w:tr2bl w:val="nil"/>
            </w:tcBorders>
            <w:noWrap w:val="0"/>
            <w:vAlign w:val="center"/>
          </w:tcPr>
          <w:p w14:paraId="084A8C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w:t>
            </w:r>
          </w:p>
        </w:tc>
      </w:tr>
      <w:tr w14:paraId="71924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569" w:type="dxa"/>
            <w:tcBorders>
              <w:bottom w:val="single" w:color="auto" w:sz="4" w:space="0"/>
              <w:tl2br w:val="nil"/>
              <w:tr2bl w:val="nil"/>
            </w:tcBorders>
            <w:noWrap w:val="0"/>
            <w:vAlign w:val="center"/>
          </w:tcPr>
          <w:p w14:paraId="48596F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w:t>
            </w:r>
          </w:p>
        </w:tc>
        <w:tc>
          <w:tcPr>
            <w:tcW w:w="965" w:type="dxa"/>
            <w:gridSpan w:val="2"/>
            <w:tcBorders>
              <w:bottom w:val="single" w:color="auto" w:sz="4" w:space="0"/>
              <w:right w:val="single" w:color="auto" w:sz="4" w:space="0"/>
              <w:tl2br w:val="nil"/>
              <w:tr2bl w:val="nil"/>
            </w:tcBorders>
            <w:noWrap w:val="0"/>
            <w:vAlign w:val="center"/>
          </w:tcPr>
          <w:p w14:paraId="085756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参数分</w:t>
            </w:r>
          </w:p>
          <w:p w14:paraId="6FF0E0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（38分）</w:t>
            </w:r>
          </w:p>
        </w:tc>
        <w:tc>
          <w:tcPr>
            <w:tcW w:w="879" w:type="dxa"/>
            <w:tcBorders>
              <w:left w:val="single" w:color="auto" w:sz="4" w:space="0"/>
              <w:bottom w:val="single" w:color="auto" w:sz="4" w:space="0"/>
              <w:tl2br w:val="nil"/>
              <w:tr2bl w:val="nil"/>
            </w:tcBorders>
            <w:noWrap w:val="0"/>
            <w:vAlign w:val="center"/>
          </w:tcPr>
          <w:p w14:paraId="645213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滤芯技术参数响应</w:t>
            </w:r>
          </w:p>
        </w:tc>
        <w:tc>
          <w:tcPr>
            <w:tcW w:w="6048" w:type="dxa"/>
            <w:tcBorders>
              <w:bottom w:val="single" w:color="auto" w:sz="4" w:space="0"/>
              <w:tl2br w:val="nil"/>
              <w:tr2bl w:val="nil"/>
            </w:tcBorders>
            <w:noWrap w:val="0"/>
            <w:vAlign w:val="center"/>
          </w:tcPr>
          <w:p w14:paraId="6ACDD9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textAlignment w:val="auto"/>
              <w:rPr>
                <w:rFonts w:hint="eastAsia" w:ascii="仿宋" w:hAnsi="仿宋" w:eastAsia="仿宋" w:cs="仿宋"/>
                <w:color w:val="auto"/>
                <w:sz w:val="18"/>
                <w:szCs w:val="18"/>
              </w:rPr>
            </w:pPr>
            <w:r>
              <w:rPr>
                <w:rFonts w:hint="eastAsia" w:ascii="仿宋" w:hAnsi="仿宋" w:eastAsia="仿宋" w:cs="仿宋"/>
                <w:color w:val="auto"/>
                <w:sz w:val="18"/>
                <w:szCs w:val="18"/>
              </w:rPr>
              <w:t xml:space="preserve"> 依据对照附件1耗材技术参数逐项评审。</w:t>
            </w:r>
            <w:r>
              <w:rPr>
                <w:rFonts w:hint="eastAsia" w:ascii="仿宋" w:hAnsi="仿宋" w:eastAsia="仿宋" w:cs="仿宋"/>
                <w:color w:val="auto"/>
                <w:sz w:val="18"/>
                <w:szCs w:val="18"/>
                <w:lang w:val="en-US" w:eastAsia="zh-CN"/>
              </w:rPr>
              <w:t>参数</w:t>
            </w:r>
            <w:r>
              <w:rPr>
                <w:rFonts w:hint="eastAsia" w:ascii="仿宋" w:hAnsi="仿宋" w:eastAsia="仿宋" w:cs="仿宋"/>
                <w:color w:val="auto"/>
                <w:sz w:val="18"/>
                <w:szCs w:val="18"/>
              </w:rPr>
              <w:t>共有3</w:t>
            </w:r>
            <w:r>
              <w:rPr>
                <w:rFonts w:hint="eastAsia" w:ascii="仿宋" w:hAnsi="仿宋" w:eastAsia="仿宋" w:cs="仿宋"/>
                <w:color w:val="auto"/>
                <w:sz w:val="18"/>
                <w:szCs w:val="18"/>
                <w:lang w:val="en-US" w:eastAsia="zh-CN"/>
              </w:rPr>
              <w:t>8</w:t>
            </w:r>
            <w:r>
              <w:rPr>
                <w:rFonts w:hint="eastAsia" w:ascii="仿宋" w:hAnsi="仿宋" w:eastAsia="仿宋" w:cs="仿宋"/>
                <w:color w:val="auto"/>
                <w:sz w:val="18"/>
                <w:szCs w:val="18"/>
              </w:rPr>
              <w:t>条，有1条不满足或负偏离的扣</w:t>
            </w:r>
            <w:r>
              <w:rPr>
                <w:rFonts w:hint="eastAsia" w:ascii="仿宋" w:hAnsi="仿宋" w:eastAsia="仿宋" w:cs="仿宋"/>
                <w:color w:val="auto"/>
                <w:sz w:val="18"/>
                <w:szCs w:val="18"/>
                <w:lang w:val="en-US" w:eastAsia="zh-CN"/>
              </w:rPr>
              <w:t>1</w:t>
            </w:r>
            <w:r>
              <w:rPr>
                <w:rFonts w:hint="eastAsia" w:ascii="仿宋" w:hAnsi="仿宋" w:eastAsia="仿宋" w:cs="仿宋"/>
                <w:color w:val="auto"/>
                <w:sz w:val="18"/>
                <w:szCs w:val="18"/>
              </w:rPr>
              <w:t>分，扣完为止，本项满分</w:t>
            </w:r>
            <w:r>
              <w:rPr>
                <w:rFonts w:hint="eastAsia" w:ascii="仿宋" w:hAnsi="仿宋" w:eastAsia="仿宋" w:cs="仿宋"/>
                <w:color w:val="auto"/>
                <w:sz w:val="18"/>
                <w:szCs w:val="18"/>
                <w:lang w:val="en-US" w:eastAsia="zh-CN"/>
              </w:rPr>
              <w:t>38</w:t>
            </w:r>
            <w:r>
              <w:rPr>
                <w:rFonts w:hint="eastAsia" w:ascii="仿宋" w:hAnsi="仿宋" w:eastAsia="仿宋" w:cs="仿宋"/>
                <w:color w:val="auto"/>
                <w:sz w:val="18"/>
                <w:szCs w:val="18"/>
              </w:rPr>
              <w:t>分。无佐证材料视为参数不满足。</w:t>
            </w:r>
          </w:p>
        </w:tc>
        <w:tc>
          <w:tcPr>
            <w:tcW w:w="479" w:type="dxa"/>
            <w:tcBorders>
              <w:bottom w:val="single" w:color="auto" w:sz="4" w:space="0"/>
              <w:tl2br w:val="nil"/>
              <w:tr2bl w:val="nil"/>
            </w:tcBorders>
            <w:noWrap w:val="0"/>
            <w:vAlign w:val="center"/>
          </w:tcPr>
          <w:p w14:paraId="603FF7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auto"/>
                <w:sz w:val="18"/>
                <w:szCs w:val="18"/>
                <w:lang w:val="en-US"/>
              </w:rPr>
            </w:pPr>
            <w:r>
              <w:rPr>
                <w:rFonts w:hint="eastAsia" w:ascii="仿宋" w:hAnsi="仿宋" w:eastAsia="仿宋" w:cs="仿宋"/>
                <w:color w:val="auto"/>
                <w:sz w:val="18"/>
                <w:szCs w:val="18"/>
                <w:lang w:val="en-US" w:eastAsia="zh-CN"/>
              </w:rPr>
              <w:t>38</w:t>
            </w:r>
          </w:p>
        </w:tc>
      </w:tr>
      <w:tr w14:paraId="12334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569" w:type="dxa"/>
            <w:tcBorders>
              <w:top w:val="single" w:color="auto" w:sz="4" w:space="0"/>
              <w:tl2br w:val="nil"/>
              <w:tr2bl w:val="nil"/>
            </w:tcBorders>
            <w:noWrap w:val="0"/>
            <w:vAlign w:val="center"/>
          </w:tcPr>
          <w:p w14:paraId="34B684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1844" w:type="dxa"/>
            <w:gridSpan w:val="3"/>
            <w:tcBorders>
              <w:top w:val="single" w:color="auto" w:sz="4" w:space="0"/>
              <w:tl2br w:val="nil"/>
              <w:tr2bl w:val="nil"/>
            </w:tcBorders>
            <w:noWrap w:val="0"/>
            <w:vAlign w:val="center"/>
          </w:tcPr>
          <w:p w14:paraId="0AFD39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磋商报价（30分）</w:t>
            </w:r>
          </w:p>
        </w:tc>
        <w:tc>
          <w:tcPr>
            <w:tcW w:w="6048" w:type="dxa"/>
            <w:tcBorders>
              <w:top w:val="single" w:color="auto" w:sz="4" w:space="0"/>
              <w:tl2br w:val="nil"/>
              <w:tr2bl w:val="nil"/>
            </w:tcBorders>
            <w:noWrap w:val="0"/>
            <w:vAlign w:val="center"/>
          </w:tcPr>
          <w:p w14:paraId="44AADE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360" w:firstLineChars="200"/>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本项目供应商只填报耗材下浮率，下浮率为固定值。</w:t>
            </w:r>
            <w:r>
              <w:rPr>
                <w:rFonts w:hint="eastAsia" w:ascii="仿宋" w:hAnsi="仿宋" w:eastAsia="仿宋" w:cs="仿宋"/>
                <w:sz w:val="18"/>
                <w:szCs w:val="18"/>
              </w:rPr>
              <w:t>①</w:t>
            </w:r>
            <w:r>
              <w:rPr>
                <w:rFonts w:hint="eastAsia" w:ascii="仿宋" w:hAnsi="仿宋" w:eastAsia="仿宋" w:cs="仿宋"/>
                <w:color w:val="auto"/>
                <w:sz w:val="18"/>
                <w:szCs w:val="18"/>
              </w:rPr>
              <w:t>有效响应供应商最高下浮率为最优下浮率，得满分</w:t>
            </w:r>
            <w:r>
              <w:rPr>
                <w:rFonts w:hint="eastAsia" w:ascii="仿宋" w:hAnsi="仿宋" w:eastAsia="仿宋" w:cs="仿宋"/>
                <w:color w:val="auto"/>
                <w:sz w:val="18"/>
                <w:szCs w:val="18"/>
                <w:lang w:val="en-US" w:eastAsia="zh-CN"/>
              </w:rPr>
              <w:t>30</w:t>
            </w:r>
            <w:r>
              <w:rPr>
                <w:rFonts w:hint="eastAsia" w:ascii="仿宋" w:hAnsi="仿宋" w:eastAsia="仿宋" w:cs="仿宋"/>
                <w:color w:val="auto"/>
                <w:sz w:val="18"/>
                <w:szCs w:val="18"/>
              </w:rPr>
              <w:t>分；</w:t>
            </w:r>
            <w:r>
              <w:rPr>
                <w:rFonts w:hint="eastAsia" w:ascii="仿宋" w:hAnsi="仿宋" w:eastAsia="仿宋" w:cs="仿宋"/>
                <w:sz w:val="18"/>
                <w:szCs w:val="18"/>
              </w:rPr>
              <w:t>②</w:t>
            </w:r>
            <w:r>
              <w:rPr>
                <w:rFonts w:hint="eastAsia" w:ascii="仿宋" w:hAnsi="仿宋" w:eastAsia="仿宋" w:cs="仿宋"/>
                <w:color w:val="auto"/>
                <w:sz w:val="18"/>
                <w:szCs w:val="18"/>
              </w:rPr>
              <w:t>其他供应商得分=（该供应商下浮率÷最优下浮率）×</w:t>
            </w:r>
            <w:r>
              <w:rPr>
                <w:rFonts w:hint="eastAsia" w:ascii="仿宋" w:hAnsi="仿宋" w:eastAsia="仿宋" w:cs="仿宋"/>
                <w:color w:val="auto"/>
                <w:sz w:val="18"/>
                <w:szCs w:val="18"/>
                <w:lang w:val="en-US" w:eastAsia="zh-CN"/>
              </w:rPr>
              <w:t>30</w:t>
            </w:r>
            <w:r>
              <w:rPr>
                <w:rFonts w:hint="eastAsia" w:ascii="仿宋" w:hAnsi="仿宋" w:eastAsia="仿宋" w:cs="仿宋"/>
                <w:color w:val="auto"/>
                <w:sz w:val="18"/>
                <w:szCs w:val="18"/>
              </w:rPr>
              <w:t>分；</w:t>
            </w:r>
            <w:r>
              <w:rPr>
                <w:rFonts w:hint="eastAsia" w:ascii="仿宋" w:hAnsi="仿宋" w:eastAsia="仿宋" w:cs="仿宋"/>
                <w:sz w:val="18"/>
                <w:szCs w:val="18"/>
              </w:rPr>
              <w:t>③</w:t>
            </w:r>
            <w:r>
              <w:rPr>
                <w:rFonts w:hint="eastAsia" w:ascii="仿宋" w:hAnsi="仿宋" w:eastAsia="仿宋" w:cs="仿宋"/>
                <w:color w:val="auto"/>
                <w:sz w:val="18"/>
                <w:szCs w:val="18"/>
              </w:rPr>
              <w:t>负下浮率视为无效响应。所有报价不得违背采购文件耗材限价及预算相关要求。</w:t>
            </w:r>
          </w:p>
        </w:tc>
        <w:tc>
          <w:tcPr>
            <w:tcW w:w="479" w:type="dxa"/>
            <w:tcBorders>
              <w:top w:val="single" w:color="auto" w:sz="4" w:space="0"/>
              <w:tl2br w:val="nil"/>
              <w:tr2bl w:val="nil"/>
            </w:tcBorders>
            <w:noWrap w:val="0"/>
            <w:vAlign w:val="center"/>
          </w:tcPr>
          <w:p w14:paraId="19CF0C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30</w:t>
            </w:r>
          </w:p>
        </w:tc>
      </w:tr>
    </w:tbl>
    <w:p w14:paraId="41664B16"/>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F071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0F9242">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B0F9242">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2E27B">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EE6785"/>
    <w:rsid w:val="46317B58"/>
    <w:rsid w:val="56582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1190</Words>
  <Characters>1215</Characters>
  <Lines>0</Lines>
  <Paragraphs>0</Paragraphs>
  <TotalTime>0</TotalTime>
  <ScaleCrop>false</ScaleCrop>
  <LinksUpToDate>false</LinksUpToDate>
  <CharactersWithSpaces>1216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2026-09-09T02:24:00Z</dcterms:created>
  <dc:creator>Lenovo</dc:creator>
  <cp:lastModifiedBy>鱼</cp:lastModifiedBy>
  <dcterms:modified xsi:type="dcterms:W3CDTF">2026-09-10T07:02:47Z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eyJoZGlkIjoiYTE2NGYzMTNiZmM1ZmFiZmM0MDIzODYxNzJiNTE0ZmIiLCJ1c2VySWQiOiIzNjc0MTA2MzgifQ==</vt:lpwstr>
  </property>
  <property fmtid="{D5CDD505-2E9C-101B-9397-08002B2CF9AE}" pid="4" name="ICV">
    <vt:lpwstr>24B580AE441548A99FBFE19138C05D1F_12</vt:lpwstr>
  </property>
</Properties>
</file>