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88FDD0">
      <w:pPr>
        <w:spacing w:before="86" w:line="228" w:lineRule="auto"/>
        <w:jc w:val="center"/>
        <w:outlineLvl w:val="0"/>
        <w:rPr>
          <w:rFonts w:ascii="仿宋" w:hAnsi="仿宋" w:eastAsia="仿宋" w:cs="仿宋"/>
          <w:b/>
          <w:bCs/>
          <w:spacing w:val="6"/>
          <w:sz w:val="40"/>
          <w:szCs w:val="40"/>
        </w:rPr>
      </w:pPr>
      <w:r>
        <w:rPr>
          <w:rFonts w:hint="eastAsia" w:ascii="仿宋" w:hAnsi="仿宋" w:eastAsia="仿宋" w:cs="仿宋"/>
          <w:b/>
          <w:bCs/>
          <w:spacing w:val="6"/>
          <w:sz w:val="40"/>
          <w:szCs w:val="40"/>
          <w:lang w:val="en-US" w:eastAsia="zh-CN"/>
        </w:rPr>
        <w:t>综合评分</w:t>
      </w:r>
      <w:r>
        <w:rPr>
          <w:rFonts w:ascii="仿宋" w:hAnsi="仿宋" w:eastAsia="仿宋" w:cs="仿宋"/>
          <w:b/>
          <w:bCs/>
          <w:spacing w:val="6"/>
          <w:sz w:val="40"/>
          <w:szCs w:val="40"/>
        </w:rPr>
        <w:t>表</w:t>
      </w:r>
    </w:p>
    <w:p w14:paraId="6747788F">
      <w:pPr>
        <w:spacing w:before="86" w:line="228" w:lineRule="auto"/>
        <w:outlineLvl w:val="0"/>
        <w:rPr>
          <w:rFonts w:ascii="仿宋" w:hAnsi="仿宋" w:eastAsia="仿宋" w:cs="仿宋"/>
          <w:b/>
          <w:bCs/>
          <w:spacing w:val="6"/>
          <w:sz w:val="40"/>
          <w:szCs w:val="40"/>
        </w:rPr>
      </w:pPr>
    </w:p>
    <w:tbl>
      <w:tblPr>
        <w:tblStyle w:val="4"/>
        <w:tblpPr w:leftFromText="180" w:rightFromText="180" w:vertAnchor="text" w:horzAnchor="page" w:tblpX="1154" w:tblpY="64"/>
        <w:tblOverlap w:val="never"/>
        <w:tblW w:w="9824"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24"/>
        <w:gridCol w:w="1100"/>
        <w:gridCol w:w="4800"/>
        <w:gridCol w:w="560"/>
        <w:gridCol w:w="980"/>
        <w:gridCol w:w="980"/>
        <w:gridCol w:w="980"/>
      </w:tblGrid>
      <w:tr w14:paraId="5AF6E2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5" w:hRule="atLeast"/>
        </w:trPr>
        <w:tc>
          <w:tcPr>
            <w:tcW w:w="424" w:type="dxa"/>
            <w:vMerge w:val="restart"/>
            <w:tcBorders>
              <w:bottom w:val="nil"/>
            </w:tcBorders>
            <w:textDirection w:val="tbRlV"/>
            <w:vAlign w:val="top"/>
          </w:tcPr>
          <w:p w14:paraId="2C30C4F2">
            <w:pPr>
              <w:pStyle w:val="5"/>
              <w:spacing w:before="130" w:line="199" w:lineRule="auto"/>
              <w:rPr>
                <w:sz w:val="21"/>
                <w:szCs w:val="21"/>
              </w:rPr>
            </w:pPr>
            <w:r>
              <w:rPr>
                <w:rFonts w:hint="eastAsia" w:cs="宋体"/>
                <w:b/>
                <w:bCs/>
                <w:sz w:val="21"/>
                <w:szCs w:val="21"/>
                <w:lang w:val="en-US" w:eastAsia="zh-CN"/>
              </w:rPr>
              <w:t xml:space="preserve"> </w:t>
            </w:r>
            <w:r>
              <w:rPr>
                <w:sz w:val="21"/>
                <w:szCs w:val="21"/>
              </w:rPr>
              <w:t>序</w:t>
            </w:r>
            <w:r>
              <w:rPr>
                <w:spacing w:val="80"/>
                <w:sz w:val="21"/>
                <w:szCs w:val="21"/>
              </w:rPr>
              <w:t xml:space="preserve"> </w:t>
            </w:r>
            <w:r>
              <w:rPr>
                <w:sz w:val="21"/>
                <w:szCs w:val="21"/>
              </w:rPr>
              <w:t>号</w:t>
            </w:r>
          </w:p>
        </w:tc>
        <w:tc>
          <w:tcPr>
            <w:tcW w:w="1100" w:type="dxa"/>
            <w:vMerge w:val="restart"/>
            <w:tcBorders>
              <w:bottom w:val="nil"/>
            </w:tcBorders>
            <w:vAlign w:val="top"/>
          </w:tcPr>
          <w:p w14:paraId="7037FACD">
            <w:pPr>
              <w:spacing w:line="468" w:lineRule="auto"/>
              <w:rPr>
                <w:rFonts w:ascii="Arial"/>
                <w:b/>
                <w:bCs/>
                <w:sz w:val="21"/>
                <w:szCs w:val="21"/>
              </w:rPr>
            </w:pPr>
          </w:p>
          <w:p w14:paraId="2AD126FB">
            <w:pPr>
              <w:pStyle w:val="5"/>
              <w:spacing w:before="62" w:line="220" w:lineRule="auto"/>
              <w:ind w:left="240"/>
              <w:rPr>
                <w:b/>
                <w:bCs/>
                <w:sz w:val="21"/>
                <w:szCs w:val="21"/>
              </w:rPr>
            </w:pPr>
            <w:r>
              <w:rPr>
                <w:b/>
                <w:bCs/>
                <w:spacing w:val="-2"/>
                <w:sz w:val="21"/>
                <w:szCs w:val="21"/>
              </w:rPr>
              <w:t>评审指标</w:t>
            </w:r>
          </w:p>
        </w:tc>
        <w:tc>
          <w:tcPr>
            <w:tcW w:w="4800" w:type="dxa"/>
            <w:vMerge w:val="restart"/>
            <w:tcBorders>
              <w:bottom w:val="nil"/>
            </w:tcBorders>
            <w:vAlign w:val="top"/>
          </w:tcPr>
          <w:p w14:paraId="730FB394">
            <w:pPr>
              <w:spacing w:line="468" w:lineRule="auto"/>
              <w:rPr>
                <w:rFonts w:ascii="Arial"/>
                <w:sz w:val="21"/>
                <w:szCs w:val="21"/>
              </w:rPr>
            </w:pPr>
          </w:p>
          <w:p w14:paraId="621A3BBC">
            <w:pPr>
              <w:pStyle w:val="5"/>
              <w:spacing w:before="62" w:line="220" w:lineRule="auto"/>
              <w:ind w:left="1402"/>
              <w:rPr>
                <w:sz w:val="21"/>
                <w:szCs w:val="21"/>
              </w:rPr>
            </w:pPr>
            <w:r>
              <w:rPr>
                <w:spacing w:val="-2"/>
                <w:sz w:val="21"/>
                <w:szCs w:val="21"/>
              </w:rPr>
              <w:t>评审标准</w:t>
            </w:r>
          </w:p>
        </w:tc>
        <w:tc>
          <w:tcPr>
            <w:tcW w:w="560" w:type="dxa"/>
            <w:vMerge w:val="restart"/>
            <w:tcBorders>
              <w:bottom w:val="nil"/>
            </w:tcBorders>
            <w:vAlign w:val="top"/>
          </w:tcPr>
          <w:p w14:paraId="5F5632E0">
            <w:pPr>
              <w:spacing w:line="465" w:lineRule="auto"/>
              <w:rPr>
                <w:rFonts w:ascii="Arial"/>
                <w:sz w:val="21"/>
                <w:szCs w:val="21"/>
              </w:rPr>
            </w:pPr>
          </w:p>
          <w:p w14:paraId="698E535A">
            <w:pPr>
              <w:pStyle w:val="5"/>
              <w:spacing w:before="62" w:line="219" w:lineRule="auto"/>
              <w:ind w:left="89"/>
              <w:rPr>
                <w:sz w:val="21"/>
                <w:szCs w:val="21"/>
              </w:rPr>
            </w:pPr>
            <w:r>
              <w:rPr>
                <w:b/>
                <w:bCs/>
                <w:spacing w:val="-5"/>
                <w:sz w:val="21"/>
                <w:szCs w:val="21"/>
              </w:rPr>
              <w:t>分值</w:t>
            </w:r>
          </w:p>
        </w:tc>
        <w:tc>
          <w:tcPr>
            <w:tcW w:w="3859" w:type="dxa"/>
            <w:gridSpan w:val="3"/>
            <w:vAlign w:val="top"/>
          </w:tcPr>
          <w:p w14:paraId="450B1BBB">
            <w:pPr>
              <w:pStyle w:val="5"/>
              <w:spacing w:before="140" w:line="219" w:lineRule="auto"/>
              <w:jc w:val="center"/>
              <w:rPr>
                <w:sz w:val="21"/>
                <w:szCs w:val="21"/>
              </w:rPr>
            </w:pPr>
            <w:r>
              <w:rPr>
                <w:b/>
                <w:bCs/>
                <w:spacing w:val="-4"/>
                <w:sz w:val="21"/>
                <w:szCs w:val="21"/>
              </w:rPr>
              <w:t>评审得分</w:t>
            </w:r>
          </w:p>
        </w:tc>
      </w:tr>
      <w:tr w14:paraId="57F30F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4" w:hRule="atLeast"/>
        </w:trPr>
        <w:tc>
          <w:tcPr>
            <w:tcW w:w="424" w:type="dxa"/>
            <w:vMerge w:val="continue"/>
            <w:tcBorders>
              <w:top w:val="nil"/>
            </w:tcBorders>
            <w:textDirection w:val="tbRlV"/>
            <w:vAlign w:val="top"/>
          </w:tcPr>
          <w:p w14:paraId="203D5763">
            <w:pPr>
              <w:rPr>
                <w:rFonts w:ascii="Arial"/>
                <w:sz w:val="21"/>
                <w:szCs w:val="21"/>
              </w:rPr>
            </w:pPr>
          </w:p>
        </w:tc>
        <w:tc>
          <w:tcPr>
            <w:tcW w:w="1268" w:type="dxa"/>
            <w:vMerge w:val="continue"/>
            <w:tcBorders>
              <w:top w:val="nil"/>
            </w:tcBorders>
            <w:vAlign w:val="top"/>
          </w:tcPr>
          <w:p w14:paraId="57141F74">
            <w:pPr>
              <w:rPr>
                <w:rFonts w:ascii="Arial"/>
                <w:b/>
                <w:bCs/>
                <w:sz w:val="21"/>
                <w:szCs w:val="21"/>
              </w:rPr>
            </w:pPr>
          </w:p>
        </w:tc>
        <w:tc>
          <w:tcPr>
            <w:tcW w:w="3746" w:type="dxa"/>
            <w:vMerge w:val="continue"/>
            <w:tcBorders>
              <w:top w:val="nil"/>
            </w:tcBorders>
            <w:vAlign w:val="top"/>
          </w:tcPr>
          <w:p w14:paraId="4E7774C5">
            <w:pPr>
              <w:rPr>
                <w:rFonts w:ascii="Arial"/>
                <w:sz w:val="21"/>
                <w:szCs w:val="21"/>
              </w:rPr>
            </w:pPr>
          </w:p>
        </w:tc>
        <w:tc>
          <w:tcPr>
            <w:tcW w:w="569" w:type="dxa"/>
            <w:vMerge w:val="continue"/>
            <w:tcBorders>
              <w:top w:val="nil"/>
            </w:tcBorders>
            <w:vAlign w:val="top"/>
          </w:tcPr>
          <w:p w14:paraId="00CD8D85">
            <w:pPr>
              <w:rPr>
                <w:rFonts w:ascii="Arial"/>
                <w:sz w:val="21"/>
                <w:szCs w:val="21"/>
              </w:rPr>
            </w:pPr>
          </w:p>
        </w:tc>
        <w:tc>
          <w:tcPr>
            <w:tcW w:w="980" w:type="dxa"/>
            <w:vAlign w:val="center"/>
          </w:tcPr>
          <w:p w14:paraId="1F8B78CD">
            <w:pPr>
              <w:pStyle w:val="5"/>
              <w:spacing w:before="288" w:line="220" w:lineRule="auto"/>
              <w:jc w:val="center"/>
              <w:rPr>
                <w:sz w:val="21"/>
                <w:szCs w:val="21"/>
              </w:rPr>
            </w:pPr>
            <w:r>
              <w:rPr>
                <w:spacing w:val="-12"/>
                <w:sz w:val="21"/>
                <w:szCs w:val="21"/>
              </w:rPr>
              <w:t>投</w:t>
            </w:r>
            <w:r>
              <w:rPr>
                <w:spacing w:val="-35"/>
                <w:sz w:val="21"/>
                <w:szCs w:val="21"/>
              </w:rPr>
              <w:t xml:space="preserve"> </w:t>
            </w:r>
            <w:r>
              <w:rPr>
                <w:spacing w:val="-12"/>
                <w:sz w:val="21"/>
                <w:szCs w:val="21"/>
              </w:rPr>
              <w:t>标</w:t>
            </w:r>
            <w:r>
              <w:rPr>
                <w:spacing w:val="-35"/>
                <w:sz w:val="21"/>
                <w:szCs w:val="21"/>
              </w:rPr>
              <w:t xml:space="preserve"> </w:t>
            </w:r>
            <w:r>
              <w:rPr>
                <w:spacing w:val="-12"/>
                <w:sz w:val="21"/>
                <w:szCs w:val="21"/>
              </w:rPr>
              <w:t>方</w:t>
            </w:r>
            <w:r>
              <w:rPr>
                <w:spacing w:val="-41"/>
                <w:sz w:val="21"/>
                <w:szCs w:val="21"/>
              </w:rPr>
              <w:t xml:space="preserve"> </w:t>
            </w:r>
            <w:r>
              <w:rPr>
                <w:spacing w:val="-12"/>
                <w:sz w:val="21"/>
                <w:szCs w:val="21"/>
              </w:rPr>
              <w:t>A :</w:t>
            </w:r>
          </w:p>
        </w:tc>
        <w:tc>
          <w:tcPr>
            <w:tcW w:w="980" w:type="dxa"/>
            <w:vAlign w:val="center"/>
          </w:tcPr>
          <w:p w14:paraId="08484A4B">
            <w:pPr>
              <w:pStyle w:val="5"/>
              <w:spacing w:before="288" w:line="220" w:lineRule="auto"/>
              <w:jc w:val="center"/>
              <w:rPr>
                <w:sz w:val="21"/>
                <w:szCs w:val="21"/>
              </w:rPr>
            </w:pPr>
            <w:r>
              <w:rPr>
                <w:spacing w:val="-13"/>
                <w:sz w:val="21"/>
                <w:szCs w:val="21"/>
              </w:rPr>
              <w:t>投</w:t>
            </w:r>
            <w:r>
              <w:rPr>
                <w:spacing w:val="-30"/>
                <w:sz w:val="21"/>
                <w:szCs w:val="21"/>
              </w:rPr>
              <w:t xml:space="preserve"> </w:t>
            </w:r>
            <w:r>
              <w:rPr>
                <w:spacing w:val="-13"/>
                <w:sz w:val="21"/>
                <w:szCs w:val="21"/>
              </w:rPr>
              <w:t>标</w:t>
            </w:r>
            <w:r>
              <w:rPr>
                <w:spacing w:val="-35"/>
                <w:sz w:val="21"/>
                <w:szCs w:val="21"/>
              </w:rPr>
              <w:t xml:space="preserve"> </w:t>
            </w:r>
            <w:r>
              <w:rPr>
                <w:spacing w:val="-13"/>
                <w:sz w:val="21"/>
                <w:szCs w:val="21"/>
              </w:rPr>
              <w:t>方</w:t>
            </w:r>
            <w:r>
              <w:rPr>
                <w:spacing w:val="-40"/>
                <w:sz w:val="21"/>
                <w:szCs w:val="21"/>
              </w:rPr>
              <w:t xml:space="preserve"> </w:t>
            </w:r>
            <w:r>
              <w:rPr>
                <w:spacing w:val="-13"/>
                <w:sz w:val="21"/>
                <w:szCs w:val="21"/>
              </w:rPr>
              <w:t>B :</w:t>
            </w:r>
          </w:p>
        </w:tc>
        <w:tc>
          <w:tcPr>
            <w:tcW w:w="980" w:type="dxa"/>
            <w:vAlign w:val="center"/>
          </w:tcPr>
          <w:p w14:paraId="4DBD1869">
            <w:pPr>
              <w:pStyle w:val="5"/>
              <w:spacing w:before="288" w:line="220" w:lineRule="auto"/>
              <w:ind w:left="109"/>
              <w:jc w:val="center"/>
              <w:rPr>
                <w:sz w:val="21"/>
                <w:szCs w:val="21"/>
              </w:rPr>
            </w:pPr>
            <w:r>
              <w:rPr>
                <w:spacing w:val="7"/>
                <w:sz w:val="21"/>
                <w:szCs w:val="21"/>
              </w:rPr>
              <w:t>投标方C:</w:t>
            </w:r>
          </w:p>
        </w:tc>
      </w:tr>
      <w:tr w14:paraId="137E6E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0" w:hRule="atLeast"/>
        </w:trPr>
        <w:tc>
          <w:tcPr>
            <w:tcW w:w="424" w:type="dxa"/>
            <w:vAlign w:val="center"/>
          </w:tcPr>
          <w:p w14:paraId="490CB26F">
            <w:pPr>
              <w:pStyle w:val="5"/>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sz w:val="21"/>
                <w:szCs w:val="21"/>
              </w:rPr>
            </w:pPr>
            <w:r>
              <w:rPr>
                <w:sz w:val="21"/>
                <w:szCs w:val="21"/>
              </w:rPr>
              <w:t>1</w:t>
            </w:r>
          </w:p>
        </w:tc>
        <w:tc>
          <w:tcPr>
            <w:tcW w:w="1100" w:type="dxa"/>
            <w:vAlign w:val="center"/>
          </w:tcPr>
          <w:p w14:paraId="6BB27399">
            <w:pPr>
              <w:pStyle w:val="5"/>
              <w:keepNext w:val="0"/>
              <w:keepLines w:val="0"/>
              <w:pageBreakBefore w:val="0"/>
              <w:widowControl/>
              <w:kinsoku w:val="0"/>
              <w:wordWrap/>
              <w:overflowPunct/>
              <w:topLinePunct w:val="0"/>
              <w:autoSpaceDE w:val="0"/>
              <w:autoSpaceDN w:val="0"/>
              <w:bidi w:val="0"/>
              <w:adjustRightInd w:val="0"/>
              <w:snapToGrid w:val="0"/>
              <w:spacing w:before="62" w:line="219" w:lineRule="auto"/>
              <w:jc w:val="center"/>
              <w:textAlignment w:val="baseline"/>
              <w:rPr>
                <w:rFonts w:hint="eastAsia"/>
                <w:b/>
                <w:bCs/>
                <w:spacing w:val="-2"/>
                <w:sz w:val="21"/>
                <w:szCs w:val="21"/>
                <w:lang w:val="en-US" w:eastAsia="zh-CN"/>
              </w:rPr>
            </w:pPr>
            <w:r>
              <w:rPr>
                <w:rFonts w:hint="eastAsia"/>
                <w:b/>
                <w:bCs/>
                <w:spacing w:val="-2"/>
                <w:sz w:val="21"/>
                <w:szCs w:val="21"/>
                <w:lang w:val="en-US" w:eastAsia="zh-CN"/>
              </w:rPr>
              <w:t>维保保养</w:t>
            </w:r>
          </w:p>
          <w:p w14:paraId="21DD6BCC">
            <w:pPr>
              <w:pStyle w:val="5"/>
              <w:keepNext w:val="0"/>
              <w:keepLines w:val="0"/>
              <w:pageBreakBefore w:val="0"/>
              <w:widowControl/>
              <w:kinsoku w:val="0"/>
              <w:wordWrap/>
              <w:overflowPunct/>
              <w:topLinePunct w:val="0"/>
              <w:autoSpaceDE w:val="0"/>
              <w:autoSpaceDN w:val="0"/>
              <w:bidi w:val="0"/>
              <w:adjustRightInd w:val="0"/>
              <w:snapToGrid w:val="0"/>
              <w:spacing w:before="62" w:line="219" w:lineRule="auto"/>
              <w:jc w:val="center"/>
              <w:textAlignment w:val="baseline"/>
              <w:rPr>
                <w:b/>
                <w:bCs/>
                <w:sz w:val="21"/>
                <w:szCs w:val="21"/>
              </w:rPr>
            </w:pPr>
            <w:r>
              <w:rPr>
                <w:b/>
                <w:bCs/>
                <w:spacing w:val="-2"/>
                <w:sz w:val="21"/>
                <w:szCs w:val="21"/>
              </w:rPr>
              <w:t>服务方案</w:t>
            </w:r>
          </w:p>
        </w:tc>
        <w:tc>
          <w:tcPr>
            <w:tcW w:w="4800" w:type="dxa"/>
            <w:vAlign w:val="center"/>
          </w:tcPr>
          <w:p w14:paraId="63DD8384">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13"/>
              <w:jc w:val="both"/>
              <w:textAlignment w:val="baseline"/>
              <w:rPr>
                <w:rFonts w:hint="eastAsia"/>
                <w:spacing w:val="-4"/>
                <w:sz w:val="21"/>
                <w:szCs w:val="21"/>
                <w:lang w:val="en-US" w:eastAsia="zh-CN"/>
              </w:rPr>
            </w:pPr>
            <w:r>
              <w:rPr>
                <w:sz w:val="21"/>
                <w:szCs w:val="21"/>
              </w:rPr>
              <w:t>具体维保要求如下：1.火灾自动报警系统及联动控制系统、2.自动喷淋灭火系统、3.消火栓灭火系统、4.防火门（窗）及防火卷帘系统、5.消防排烟机正压送风系统、6.气体灭火系统、7.消防电梯系统、8.消防应急广播系统、9.消防电话系统、10.消防应急照明和疏散指示系统。</w:t>
            </w:r>
          </w:p>
          <w:p w14:paraId="17FF5E53">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13"/>
              <w:jc w:val="both"/>
              <w:textAlignment w:val="baseline"/>
              <w:rPr>
                <w:rFonts w:hint="default" w:eastAsia="宋体"/>
                <w:spacing w:val="-4"/>
                <w:sz w:val="21"/>
                <w:szCs w:val="21"/>
                <w:lang w:val="en-US" w:eastAsia="zh-CN"/>
              </w:rPr>
            </w:pPr>
            <w:r>
              <w:rPr>
                <w:sz w:val="21"/>
                <w:szCs w:val="21"/>
              </w:rPr>
              <w:t>供应商应结合医院门诊楼、住院部、重症监护室（ICU）、放射科、配电房、病案室、气体灭火保护区、消防控制室等重点部位特点，针对本项目提供以上内容维保保养服务方案，要求阐述内容合理、条理清晰、针对性强、切实可行有效。以上10条内容不存在瑕疵的每条得</w:t>
            </w:r>
            <w:r>
              <w:rPr>
                <w:rFonts w:hint="eastAsia"/>
                <w:sz w:val="21"/>
                <w:szCs w:val="21"/>
                <w:lang w:val="en-US" w:eastAsia="zh-CN"/>
              </w:rPr>
              <w:t>3</w:t>
            </w:r>
            <w:r>
              <w:rPr>
                <w:sz w:val="21"/>
                <w:szCs w:val="21"/>
              </w:rPr>
              <w:t>分；存在1处瑕疵的该条得2分；存在2处瑕疵的该条得1分；未进行阐述或不满足采购需求或内容存在3处及以上瑕疵的该条得0分；本项最高得</w:t>
            </w:r>
            <w:r>
              <w:rPr>
                <w:rFonts w:hint="eastAsia"/>
                <w:sz w:val="21"/>
                <w:szCs w:val="21"/>
                <w:lang w:val="en-US" w:eastAsia="zh-CN"/>
              </w:rPr>
              <w:t>30</w:t>
            </w:r>
            <w:r>
              <w:rPr>
                <w:sz w:val="21"/>
                <w:szCs w:val="21"/>
              </w:rPr>
              <w:t>分。</w:t>
            </w:r>
          </w:p>
          <w:p w14:paraId="65E272B9">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13"/>
              <w:jc w:val="both"/>
              <w:textAlignment w:val="baseline"/>
              <w:rPr>
                <w:rFonts w:hint="default" w:eastAsia="宋体"/>
                <w:spacing w:val="-4"/>
                <w:sz w:val="21"/>
                <w:szCs w:val="21"/>
                <w:lang w:val="en-US" w:eastAsia="zh-CN"/>
              </w:rPr>
            </w:pPr>
            <w:r>
              <w:rPr>
                <w:sz w:val="21"/>
                <w:szCs w:val="21"/>
              </w:rPr>
              <w:t>注：以上所称“瑕疵”是指：①内容缺项、不完整或缺少关键点；②非专门针对本项目或不适用本项目特性、套用其他项目内容；③对同一问题前后表述矛盾；④存在逻辑漏洞和科学原理或常识错误；⑤不利于本项目目标的实现、现有技术条件下不可能出现的情形等任意一种情形。</w:t>
            </w:r>
          </w:p>
        </w:tc>
        <w:tc>
          <w:tcPr>
            <w:tcW w:w="560" w:type="dxa"/>
            <w:vAlign w:val="center"/>
          </w:tcPr>
          <w:p w14:paraId="50C986E1">
            <w:pPr>
              <w:pStyle w:val="5"/>
              <w:spacing w:before="62" w:line="183" w:lineRule="auto"/>
              <w:jc w:val="center"/>
              <w:rPr>
                <w:rFonts w:hint="default" w:eastAsia="宋体"/>
                <w:sz w:val="21"/>
                <w:szCs w:val="21"/>
                <w:lang w:val="en-US" w:eastAsia="zh-CN"/>
              </w:rPr>
            </w:pPr>
            <w:r>
              <w:rPr>
                <w:rFonts w:hint="eastAsia"/>
                <w:sz w:val="21"/>
                <w:szCs w:val="21"/>
                <w:lang w:val="en-US" w:eastAsia="zh-CN"/>
              </w:rPr>
              <w:t>30</w:t>
            </w:r>
          </w:p>
        </w:tc>
        <w:tc>
          <w:tcPr>
            <w:tcW w:w="980" w:type="dxa"/>
            <w:vAlign w:val="top"/>
          </w:tcPr>
          <w:p w14:paraId="258B8307">
            <w:pPr>
              <w:rPr>
                <w:rFonts w:ascii="Arial"/>
                <w:sz w:val="21"/>
                <w:szCs w:val="21"/>
              </w:rPr>
            </w:pPr>
          </w:p>
        </w:tc>
        <w:tc>
          <w:tcPr>
            <w:tcW w:w="980" w:type="dxa"/>
            <w:vAlign w:val="top"/>
          </w:tcPr>
          <w:p w14:paraId="1EDF93CA">
            <w:pPr>
              <w:spacing w:line="259" w:lineRule="auto"/>
              <w:rPr>
                <w:rFonts w:ascii="Arial"/>
                <w:sz w:val="21"/>
                <w:szCs w:val="21"/>
              </w:rPr>
            </w:pPr>
          </w:p>
        </w:tc>
        <w:tc>
          <w:tcPr>
            <w:tcW w:w="980" w:type="dxa"/>
            <w:vAlign w:val="top"/>
          </w:tcPr>
          <w:p w14:paraId="5EA1BFB8">
            <w:pPr>
              <w:rPr>
                <w:rFonts w:ascii="Arial"/>
                <w:sz w:val="21"/>
                <w:szCs w:val="21"/>
              </w:rPr>
            </w:pPr>
          </w:p>
        </w:tc>
      </w:tr>
      <w:tr w14:paraId="4FD0F8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95" w:hRule="atLeast"/>
        </w:trPr>
        <w:tc>
          <w:tcPr>
            <w:tcW w:w="424" w:type="dxa"/>
            <w:vAlign w:val="center"/>
          </w:tcPr>
          <w:p w14:paraId="7BEE681E">
            <w:pPr>
              <w:pStyle w:val="5"/>
              <w:keepNext w:val="0"/>
              <w:keepLines w:val="0"/>
              <w:pageBreakBefore w:val="0"/>
              <w:widowControl/>
              <w:kinsoku w:val="0"/>
              <w:wordWrap/>
              <w:overflowPunct/>
              <w:topLinePunct w:val="0"/>
              <w:autoSpaceDE w:val="0"/>
              <w:autoSpaceDN w:val="0"/>
              <w:bidi w:val="0"/>
              <w:adjustRightInd w:val="0"/>
              <w:snapToGrid w:val="0"/>
              <w:spacing w:line="240" w:lineRule="auto"/>
              <w:ind w:left="155"/>
              <w:jc w:val="center"/>
              <w:textAlignment w:val="baseline"/>
              <w:rPr>
                <w:sz w:val="21"/>
                <w:szCs w:val="21"/>
              </w:rPr>
            </w:pPr>
            <w:r>
              <w:rPr>
                <w:sz w:val="21"/>
                <w:szCs w:val="21"/>
              </w:rPr>
              <w:t>2</w:t>
            </w:r>
          </w:p>
        </w:tc>
        <w:tc>
          <w:tcPr>
            <w:tcW w:w="1100" w:type="dxa"/>
            <w:vAlign w:val="center"/>
          </w:tcPr>
          <w:p w14:paraId="2725D960">
            <w:pPr>
              <w:pStyle w:val="5"/>
              <w:keepNext w:val="0"/>
              <w:keepLines w:val="0"/>
              <w:pageBreakBefore w:val="0"/>
              <w:widowControl/>
              <w:kinsoku w:val="0"/>
              <w:wordWrap/>
              <w:overflowPunct/>
              <w:topLinePunct w:val="0"/>
              <w:autoSpaceDE w:val="0"/>
              <w:autoSpaceDN w:val="0"/>
              <w:bidi w:val="0"/>
              <w:adjustRightInd w:val="0"/>
              <w:snapToGrid w:val="0"/>
              <w:spacing w:before="62" w:line="219" w:lineRule="auto"/>
              <w:jc w:val="center"/>
              <w:textAlignment w:val="baseline"/>
              <w:rPr>
                <w:b/>
                <w:bCs/>
                <w:sz w:val="21"/>
                <w:szCs w:val="21"/>
              </w:rPr>
            </w:pPr>
            <w:r>
              <w:rPr>
                <w:b/>
                <w:bCs/>
                <w:spacing w:val="-2"/>
                <w:sz w:val="21"/>
                <w:szCs w:val="21"/>
              </w:rPr>
              <w:t>售后服务方案</w:t>
            </w:r>
          </w:p>
        </w:tc>
        <w:tc>
          <w:tcPr>
            <w:tcW w:w="4800" w:type="dxa"/>
            <w:vAlign w:val="center"/>
          </w:tcPr>
          <w:p w14:paraId="053364BA">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13"/>
              <w:jc w:val="both"/>
              <w:textAlignment w:val="baseline"/>
              <w:rPr>
                <w:rFonts w:hint="default" w:eastAsia="宋体"/>
                <w:spacing w:val="-4"/>
                <w:sz w:val="21"/>
                <w:szCs w:val="21"/>
                <w:lang w:val="en-US" w:eastAsia="zh-CN"/>
              </w:rPr>
            </w:pPr>
            <w:r>
              <w:rPr>
                <w:sz w:val="21"/>
                <w:szCs w:val="21"/>
              </w:rPr>
              <w:t>供应商应针对本项目提供售后服务方案，包括但不限于以下5个方面：1.应急处置措施：制定消防设施故障应急处置预案，承诺紧急故障（影响消防设施正常运行、危及消防安全的故障）接报后2小时内到场处置、一般故障24小时内处理完毕；2.人员配备：</w:t>
            </w:r>
            <w:r>
              <w:rPr>
                <w:rFonts w:ascii="宋体" w:hAnsi="宋体" w:eastAsia="宋体" w:cs="宋体"/>
                <w:sz w:val="21"/>
                <w:szCs w:val="21"/>
              </w:rPr>
              <w:t>接到报修后按约定时限到场处置；承诺到场作业人员持证上岗，具备消防设施操作员（中级及以上）资质</w:t>
            </w:r>
            <w:r>
              <w:rPr>
                <w:rFonts w:hint="eastAsia" w:cs="宋体"/>
                <w:sz w:val="21"/>
                <w:szCs w:val="21"/>
                <w:lang w:eastAsia="zh-CN"/>
              </w:rPr>
              <w:t>；</w:t>
            </w:r>
            <w:r>
              <w:rPr>
                <w:sz w:val="21"/>
                <w:szCs w:val="21"/>
              </w:rPr>
              <w:t>3.备品备件及更换服务：建立常用易损件（火灾探测器、手动报警按钮、喷头、应急照明灯具、灭火器等）库存，承诺主要部件故障后72小时内更换到位；4.服务内容及方式：按合同约定周期开展巡检、检测、维修并出具报告，提供24小时报修受理电话并专人接听、全程记录；5.售后服务范围及针对性措施：服务范围覆盖本项目全部维保系统及医院重点部位，承诺每年配合医院开展不少于2次消防演练或消防安全培训。</w:t>
            </w:r>
          </w:p>
          <w:p w14:paraId="50A666F8">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13"/>
              <w:jc w:val="both"/>
              <w:textAlignment w:val="baseline"/>
              <w:rPr>
                <w:sz w:val="21"/>
                <w:szCs w:val="21"/>
              </w:rPr>
            </w:pPr>
            <w:r>
              <w:rPr>
                <w:sz w:val="21"/>
                <w:szCs w:val="21"/>
              </w:rPr>
              <w:t>以上要求阐述内容合理、条理清晰、针对性强、切实可行有效。以上5条内容不存在瑕疵的每条得</w:t>
            </w:r>
            <w:r>
              <w:rPr>
                <w:rFonts w:hint="eastAsia"/>
                <w:sz w:val="21"/>
                <w:szCs w:val="21"/>
                <w:lang w:val="en-US" w:eastAsia="zh-CN"/>
              </w:rPr>
              <w:t>6</w:t>
            </w:r>
            <w:r>
              <w:rPr>
                <w:sz w:val="21"/>
                <w:szCs w:val="21"/>
              </w:rPr>
              <w:t>分；存在1处瑕疵的该条得</w:t>
            </w:r>
            <w:r>
              <w:rPr>
                <w:rFonts w:hint="eastAsia"/>
                <w:sz w:val="21"/>
                <w:szCs w:val="21"/>
                <w:lang w:val="en-US" w:eastAsia="zh-CN"/>
              </w:rPr>
              <w:t>4</w:t>
            </w:r>
            <w:r>
              <w:rPr>
                <w:sz w:val="21"/>
                <w:szCs w:val="21"/>
              </w:rPr>
              <w:t>分；存在2处瑕疵的该条得</w:t>
            </w:r>
            <w:r>
              <w:rPr>
                <w:rFonts w:hint="eastAsia"/>
                <w:sz w:val="21"/>
                <w:szCs w:val="21"/>
                <w:lang w:val="en-US" w:eastAsia="zh-CN"/>
              </w:rPr>
              <w:t>3</w:t>
            </w:r>
            <w:r>
              <w:rPr>
                <w:sz w:val="21"/>
                <w:szCs w:val="21"/>
              </w:rPr>
              <w:t>分；未进行阐述或不满足采购需求或内容存在3处及以上瑕疵的该条得0分；本项最高得</w:t>
            </w:r>
            <w:r>
              <w:rPr>
                <w:rFonts w:hint="eastAsia"/>
                <w:sz w:val="21"/>
                <w:szCs w:val="21"/>
                <w:lang w:val="en-US" w:eastAsia="zh-CN"/>
              </w:rPr>
              <w:t>30</w:t>
            </w:r>
            <w:r>
              <w:rPr>
                <w:sz w:val="21"/>
                <w:szCs w:val="21"/>
              </w:rPr>
              <w:t>分。</w:t>
            </w:r>
          </w:p>
          <w:p w14:paraId="30F3BA2D">
            <w:pPr>
              <w:spacing w:line="360" w:lineRule="auto"/>
              <w:ind w:firstLine="0"/>
              <w:rPr>
                <w:sz w:val="21"/>
                <w:szCs w:val="21"/>
              </w:rPr>
            </w:pPr>
            <w:r>
              <w:rPr>
                <w:sz w:val="21"/>
                <w:szCs w:val="21"/>
              </w:rPr>
              <w:t>注：以上所称“瑕疵”是指：①内容缺项、不完整或缺少关键点；②非专门针对本项目或不适用本项目特性、套用其他项目内容；③对同一问题前后表述矛盾；④存在逻辑漏洞和科学原理或常识错误；⑤不利于本项目目标的实现、现有技术条件下不可能出现的情形等任意一种情形。</w:t>
            </w:r>
          </w:p>
        </w:tc>
        <w:tc>
          <w:tcPr>
            <w:tcW w:w="560" w:type="dxa"/>
            <w:vAlign w:val="center"/>
          </w:tcPr>
          <w:p w14:paraId="5905F08A">
            <w:pPr>
              <w:pStyle w:val="5"/>
              <w:spacing w:before="61" w:line="183" w:lineRule="auto"/>
              <w:jc w:val="center"/>
              <w:rPr>
                <w:rFonts w:hint="default" w:eastAsia="宋体"/>
                <w:sz w:val="21"/>
                <w:szCs w:val="21"/>
                <w:lang w:val="en-US" w:eastAsia="zh-CN"/>
              </w:rPr>
            </w:pPr>
            <w:r>
              <w:rPr>
                <w:rFonts w:hint="eastAsia"/>
                <w:sz w:val="21"/>
                <w:szCs w:val="21"/>
                <w:lang w:val="en-US" w:eastAsia="zh-CN"/>
              </w:rPr>
              <w:t>30</w:t>
            </w:r>
          </w:p>
        </w:tc>
        <w:tc>
          <w:tcPr>
            <w:tcW w:w="980" w:type="dxa"/>
            <w:vAlign w:val="top"/>
          </w:tcPr>
          <w:p w14:paraId="3EE8515A">
            <w:pPr>
              <w:rPr>
                <w:rFonts w:ascii="Arial"/>
                <w:sz w:val="21"/>
                <w:szCs w:val="21"/>
              </w:rPr>
            </w:pPr>
          </w:p>
        </w:tc>
        <w:tc>
          <w:tcPr>
            <w:tcW w:w="980" w:type="dxa"/>
            <w:vAlign w:val="top"/>
          </w:tcPr>
          <w:p w14:paraId="09467710">
            <w:pPr>
              <w:spacing w:line="289" w:lineRule="auto"/>
              <w:rPr>
                <w:rFonts w:ascii="Arial"/>
                <w:sz w:val="21"/>
                <w:szCs w:val="21"/>
              </w:rPr>
            </w:pPr>
          </w:p>
        </w:tc>
        <w:tc>
          <w:tcPr>
            <w:tcW w:w="980" w:type="dxa"/>
            <w:vAlign w:val="top"/>
          </w:tcPr>
          <w:p w14:paraId="73DF43F4">
            <w:pPr>
              <w:spacing w:line="259" w:lineRule="auto"/>
              <w:rPr>
                <w:rFonts w:ascii="Arial"/>
                <w:sz w:val="21"/>
                <w:szCs w:val="21"/>
              </w:rPr>
            </w:pPr>
          </w:p>
        </w:tc>
      </w:tr>
      <w:tr w14:paraId="24B30A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14" w:hRule="atLeast"/>
        </w:trPr>
        <w:tc>
          <w:tcPr>
            <w:tcW w:w="424" w:type="dxa"/>
            <w:vAlign w:val="center"/>
          </w:tcPr>
          <w:p w14:paraId="432DCCD5">
            <w:pPr>
              <w:pStyle w:val="5"/>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sz w:val="21"/>
                <w:szCs w:val="21"/>
              </w:rPr>
            </w:pPr>
            <w:r>
              <w:rPr>
                <w:sz w:val="21"/>
                <w:szCs w:val="21"/>
              </w:rPr>
              <w:t>3</w:t>
            </w:r>
          </w:p>
        </w:tc>
        <w:tc>
          <w:tcPr>
            <w:tcW w:w="1100" w:type="dxa"/>
            <w:vAlign w:val="center"/>
          </w:tcPr>
          <w:p w14:paraId="13D11979">
            <w:pPr>
              <w:pStyle w:val="5"/>
              <w:keepNext w:val="0"/>
              <w:keepLines w:val="0"/>
              <w:pageBreakBefore w:val="0"/>
              <w:widowControl/>
              <w:kinsoku w:val="0"/>
              <w:wordWrap/>
              <w:overflowPunct/>
              <w:topLinePunct w:val="0"/>
              <w:autoSpaceDE w:val="0"/>
              <w:autoSpaceDN w:val="0"/>
              <w:bidi w:val="0"/>
              <w:adjustRightInd w:val="0"/>
              <w:snapToGrid w:val="0"/>
              <w:spacing w:before="132" w:line="219" w:lineRule="auto"/>
              <w:jc w:val="center"/>
              <w:textAlignment w:val="baseline"/>
              <w:rPr>
                <w:rFonts w:hint="default" w:eastAsia="宋体"/>
                <w:b/>
                <w:bCs/>
                <w:sz w:val="21"/>
                <w:szCs w:val="21"/>
                <w:lang w:val="en-US" w:eastAsia="zh-CN"/>
              </w:rPr>
            </w:pPr>
            <w:r>
              <w:rPr>
                <w:rFonts w:hint="eastAsia"/>
                <w:b/>
                <w:bCs/>
                <w:spacing w:val="-2"/>
                <w:sz w:val="21"/>
                <w:szCs w:val="21"/>
                <w:lang w:val="en-US" w:eastAsia="zh-CN"/>
              </w:rPr>
              <w:t>履约能力</w:t>
            </w:r>
          </w:p>
        </w:tc>
        <w:tc>
          <w:tcPr>
            <w:tcW w:w="4800" w:type="dxa"/>
            <w:vAlign w:val="center"/>
          </w:tcPr>
          <w:p w14:paraId="0C1929D8">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both"/>
              <w:textAlignment w:val="baseline"/>
              <w:rPr>
                <w:spacing w:val="-1"/>
                <w:sz w:val="21"/>
                <w:szCs w:val="21"/>
              </w:rPr>
            </w:pPr>
            <w:r>
              <w:rPr>
                <w:sz w:val="21"/>
                <w:szCs w:val="21"/>
              </w:rPr>
              <w:t>1、提供近三年消防设施维护保养类项目业绩，每提供1个得2分，最高6分，提供合同复印件，如合同页数过多，可提供合同首页、盖章页。</w:t>
            </w:r>
          </w:p>
          <w:p w14:paraId="0155DC4E">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both"/>
              <w:textAlignment w:val="baseline"/>
              <w:rPr>
                <w:rFonts w:hint="default" w:eastAsia="宋体"/>
                <w:sz w:val="21"/>
                <w:szCs w:val="21"/>
                <w:lang w:val="en-US" w:eastAsia="zh-CN"/>
              </w:rPr>
            </w:pPr>
            <w:r>
              <w:rPr>
                <w:sz w:val="21"/>
                <w:szCs w:val="21"/>
              </w:rPr>
              <w:t>2、人员配备（最高10分）：一级注册消防工程师2名及以上的得4分，1名的得2分；中级及以上消防设施操作员6名及以上的得6分，4至5名的得4分，2至3名的得2分，不足2名的不得分。以上人员须为本单位在职人员，提供劳动合同复印件、资格证书复印件、社保证明。</w:t>
            </w:r>
            <w:bookmarkStart w:id="0" w:name="_GoBack"/>
            <w:bookmarkEnd w:id="0"/>
          </w:p>
          <w:p w14:paraId="08BCCC96">
            <w:pPr>
              <w:spacing w:line="360" w:lineRule="auto"/>
              <w:ind w:firstLine="0"/>
              <w:rPr>
                <w:sz w:val="21"/>
                <w:szCs w:val="21"/>
              </w:rPr>
            </w:pPr>
            <w:r>
              <w:rPr>
                <w:sz w:val="21"/>
                <w:szCs w:val="21"/>
              </w:rPr>
              <w:t>3、企业信誉（4分）：未被列入失信被执行人、重大税收违法失信主体及政府采购严重违法失信行为记录名单，近三年无被消防救援机构行政处罚记录的，得4分；存在一般失信记录或行政处罚记录的，得2分；存在严重失信记录的，不得分。</w:t>
            </w:r>
          </w:p>
        </w:tc>
        <w:tc>
          <w:tcPr>
            <w:tcW w:w="560" w:type="dxa"/>
            <w:vAlign w:val="center"/>
          </w:tcPr>
          <w:p w14:paraId="0EC1CB98">
            <w:pPr>
              <w:pStyle w:val="5"/>
              <w:spacing w:before="62" w:line="183" w:lineRule="auto"/>
              <w:jc w:val="center"/>
              <w:rPr>
                <w:rFonts w:hint="eastAsia" w:eastAsia="宋体"/>
                <w:sz w:val="21"/>
                <w:szCs w:val="21"/>
                <w:lang w:val="en-US" w:eastAsia="zh-CN"/>
              </w:rPr>
            </w:pPr>
            <w:r>
              <w:rPr>
                <w:sz w:val="21"/>
                <w:szCs w:val="21"/>
              </w:rPr>
              <w:t>20</w:t>
            </w:r>
          </w:p>
        </w:tc>
        <w:tc>
          <w:tcPr>
            <w:tcW w:w="980" w:type="dxa"/>
            <w:vAlign w:val="top"/>
          </w:tcPr>
          <w:p w14:paraId="442C7D50">
            <w:pPr>
              <w:rPr>
                <w:rFonts w:ascii="Arial"/>
                <w:sz w:val="21"/>
                <w:szCs w:val="21"/>
              </w:rPr>
            </w:pPr>
          </w:p>
        </w:tc>
        <w:tc>
          <w:tcPr>
            <w:tcW w:w="980" w:type="dxa"/>
            <w:vAlign w:val="top"/>
          </w:tcPr>
          <w:p w14:paraId="0FF9E505">
            <w:pPr>
              <w:pStyle w:val="5"/>
              <w:spacing w:before="302" w:line="79" w:lineRule="exact"/>
              <w:ind w:left="19"/>
              <w:rPr>
                <w:sz w:val="21"/>
                <w:szCs w:val="21"/>
              </w:rPr>
            </w:pPr>
          </w:p>
        </w:tc>
        <w:tc>
          <w:tcPr>
            <w:tcW w:w="980" w:type="dxa"/>
            <w:vAlign w:val="top"/>
          </w:tcPr>
          <w:p w14:paraId="6BB05439">
            <w:pPr>
              <w:rPr>
                <w:rFonts w:ascii="Arial"/>
                <w:sz w:val="21"/>
                <w:szCs w:val="21"/>
              </w:rPr>
            </w:pPr>
          </w:p>
        </w:tc>
      </w:tr>
      <w:tr w14:paraId="625450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99" w:hRule="atLeast"/>
        </w:trPr>
        <w:tc>
          <w:tcPr>
            <w:tcW w:w="424" w:type="dxa"/>
            <w:vAlign w:val="center"/>
          </w:tcPr>
          <w:p w14:paraId="4E8620FA">
            <w:pPr>
              <w:pStyle w:val="5"/>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asciiTheme="minorEastAsia" w:hAnsiTheme="minorEastAsia" w:eastAsiaTheme="minorEastAsia" w:cstheme="minorEastAsia"/>
                <w:sz w:val="21"/>
                <w:szCs w:val="21"/>
              </w:rPr>
            </w:pPr>
            <w:r>
              <w:rPr>
                <w:sz w:val="21"/>
                <w:szCs w:val="21"/>
              </w:rPr>
              <w:t>4</w:t>
            </w:r>
          </w:p>
        </w:tc>
        <w:tc>
          <w:tcPr>
            <w:tcW w:w="1100" w:type="dxa"/>
            <w:vAlign w:val="center"/>
          </w:tcPr>
          <w:p w14:paraId="734A46AE">
            <w:pPr>
              <w:pStyle w:val="5"/>
              <w:keepNext w:val="0"/>
              <w:keepLines w:val="0"/>
              <w:pageBreakBefore w:val="0"/>
              <w:widowControl/>
              <w:kinsoku w:val="0"/>
              <w:wordWrap/>
              <w:overflowPunct/>
              <w:topLinePunct w:val="0"/>
              <w:autoSpaceDE w:val="0"/>
              <w:autoSpaceDN w:val="0"/>
              <w:bidi w:val="0"/>
              <w:adjustRightInd w:val="0"/>
              <w:snapToGrid w:val="0"/>
              <w:spacing w:before="61" w:line="238" w:lineRule="auto"/>
              <w:ind w:right="77" w:rightChars="0"/>
              <w:jc w:val="center"/>
              <w:textAlignment w:val="baseline"/>
              <w:rPr>
                <w:rFonts w:hint="eastAsia" w:asciiTheme="minorEastAsia" w:hAnsiTheme="minorEastAsia" w:eastAsiaTheme="minorEastAsia" w:cstheme="minorEastAsia"/>
                <w:b/>
                <w:bCs/>
                <w:snapToGrid w:val="0"/>
                <w:color w:val="000000"/>
                <w:spacing w:val="-2"/>
                <w:kern w:val="0"/>
                <w:sz w:val="21"/>
                <w:szCs w:val="21"/>
                <w:lang w:val="en-US" w:eastAsia="zh-CN" w:bidi="ar-SA"/>
              </w:rPr>
            </w:pPr>
            <w:r>
              <w:rPr>
                <w:rFonts w:hint="eastAsia" w:asciiTheme="minorEastAsia" w:hAnsiTheme="minorEastAsia" w:eastAsiaTheme="minorEastAsia" w:cstheme="minorEastAsia"/>
                <w:b/>
                <w:bCs/>
                <w:spacing w:val="-2"/>
                <w:sz w:val="21"/>
                <w:szCs w:val="21"/>
                <w:lang w:eastAsia="zh-CN"/>
              </w:rPr>
              <w:t>报价</w:t>
            </w:r>
          </w:p>
        </w:tc>
        <w:tc>
          <w:tcPr>
            <w:tcW w:w="4800" w:type="dxa"/>
            <w:vAlign w:val="center"/>
          </w:tcPr>
          <w:p w14:paraId="58FC59A4">
            <w:pPr>
              <w:pStyle w:val="5"/>
              <w:keepNext w:val="0"/>
              <w:keepLines w:val="0"/>
              <w:pageBreakBefore w:val="0"/>
              <w:widowControl/>
              <w:kinsoku w:val="0"/>
              <w:wordWrap/>
              <w:overflowPunct/>
              <w:topLinePunct w:val="0"/>
              <w:autoSpaceDE w:val="0"/>
              <w:autoSpaceDN w:val="0"/>
              <w:bidi w:val="0"/>
              <w:adjustRightInd w:val="0"/>
              <w:snapToGrid w:val="0"/>
              <w:spacing w:line="360" w:lineRule="auto"/>
              <w:jc w:val="both"/>
              <w:textAlignment w:val="baseline"/>
              <w:rPr>
                <w:rFonts w:hint="eastAsia" w:asciiTheme="minorEastAsia" w:hAnsiTheme="minorEastAsia" w:eastAsiaTheme="minorEastAsia" w:cstheme="minorEastAsia"/>
                <w:snapToGrid w:val="0"/>
                <w:color w:val="000000"/>
                <w:spacing w:val="-1"/>
                <w:kern w:val="0"/>
                <w:sz w:val="21"/>
                <w:szCs w:val="21"/>
                <w:lang w:val="en-US" w:eastAsia="en-US" w:bidi="ar-SA"/>
              </w:rPr>
            </w:pPr>
            <w:r>
              <w:rPr>
                <w:rFonts w:hint="eastAsia" w:asciiTheme="minorEastAsia" w:hAnsiTheme="minorEastAsia" w:eastAsiaTheme="minorEastAsia" w:cstheme="minorEastAsia"/>
                <w:sz w:val="21"/>
                <w:szCs w:val="21"/>
              </w:rPr>
              <w:t>价格分统一采用低价优先法计算（《政府采购货物和服务招标投标管理办法》财政部令第87号第五十五条）：满足招标文件要求且通过符合性审查的最低有效投标报价为评标基准价，其价格分为满分</w:t>
            </w:r>
            <w:r>
              <w:rPr>
                <w:rFonts w:hint="eastAsia" w:asciiTheme="minorEastAsia" w:hAnsiTheme="minorEastAsia" w:eastAsiaTheme="minorEastAsia" w:cstheme="minorEastAsia"/>
                <w:sz w:val="21"/>
                <w:szCs w:val="21"/>
                <w:lang w:val="en-US" w:eastAsia="zh-CN"/>
              </w:rPr>
              <w:t>20</w:t>
            </w:r>
            <w:r>
              <w:rPr>
                <w:rFonts w:hint="eastAsia" w:asciiTheme="minorEastAsia" w:hAnsiTheme="minorEastAsia" w:eastAsiaTheme="minorEastAsia" w:cstheme="minorEastAsia"/>
                <w:sz w:val="21"/>
                <w:szCs w:val="21"/>
              </w:rPr>
              <w:t>分；其他供应商的价格分按照下列公式计算：报价得分＝（评标基准价÷投标报价）×</w:t>
            </w:r>
            <w:r>
              <w:rPr>
                <w:rFonts w:hint="eastAsia" w:asciiTheme="minorEastAsia" w:hAnsiTheme="minorEastAsia" w:eastAsiaTheme="minorEastAsia" w:cstheme="minorEastAsia"/>
                <w:sz w:val="21"/>
                <w:szCs w:val="21"/>
                <w:lang w:val="en-US" w:eastAsia="zh-CN"/>
              </w:rPr>
              <w:t>20</w:t>
            </w:r>
            <w:r>
              <w:rPr>
                <w:rFonts w:hint="eastAsia" w:asciiTheme="minorEastAsia" w:hAnsiTheme="minorEastAsia" w:eastAsiaTheme="minorEastAsia" w:cstheme="minorEastAsia"/>
                <w:sz w:val="21"/>
                <w:szCs w:val="21"/>
              </w:rPr>
              <w:t>，计算结果保留小数点后两位。</w:t>
            </w:r>
          </w:p>
          <w:p w14:paraId="070D7608">
            <w:pPr>
              <w:spacing w:line="360" w:lineRule="auto"/>
              <w:ind w:firstLine="0"/>
              <w:rPr>
                <w:sz w:val="21"/>
                <w:szCs w:val="21"/>
              </w:rPr>
            </w:pPr>
            <w:r>
              <w:rPr>
                <w:rFonts w:hint="eastAsia" w:asciiTheme="minorEastAsia" w:hAnsiTheme="minorEastAsia" w:eastAsiaTheme="minorEastAsia" w:cstheme="minorEastAsia"/>
                <w:sz w:val="21"/>
                <w:szCs w:val="21"/>
              </w:rPr>
              <w:t>投标报价高于采购预算（最高限价）的，作无效投标处理；评标委员会认为供应商报价明显低于其他通过符合性审查供应商报价、有可能影响产品质量或者不能诚信履约的，应当要求其提供书面说明及证明材料，不能证明其报价合理性的，作无效投标处理。</w:t>
            </w:r>
          </w:p>
        </w:tc>
        <w:tc>
          <w:tcPr>
            <w:tcW w:w="560" w:type="dxa"/>
            <w:vAlign w:val="center"/>
          </w:tcPr>
          <w:p w14:paraId="65CDC3FD">
            <w:pPr>
              <w:pStyle w:val="5"/>
              <w:spacing w:before="62" w:line="184" w:lineRule="auto"/>
              <w:jc w:val="center"/>
              <w:rPr>
                <w:rFonts w:hint="default"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20</w:t>
            </w:r>
          </w:p>
        </w:tc>
        <w:tc>
          <w:tcPr>
            <w:tcW w:w="980" w:type="dxa"/>
            <w:vAlign w:val="top"/>
          </w:tcPr>
          <w:p w14:paraId="467F27EC">
            <w:pPr>
              <w:rPr>
                <w:rFonts w:hint="eastAsia" w:asciiTheme="minorEastAsia" w:hAnsiTheme="minorEastAsia" w:eastAsiaTheme="minorEastAsia" w:cstheme="minorEastAsia"/>
                <w:sz w:val="21"/>
                <w:szCs w:val="21"/>
              </w:rPr>
            </w:pPr>
          </w:p>
        </w:tc>
        <w:tc>
          <w:tcPr>
            <w:tcW w:w="980" w:type="dxa"/>
            <w:vAlign w:val="top"/>
          </w:tcPr>
          <w:p w14:paraId="624B12B2">
            <w:pPr>
              <w:rPr>
                <w:rFonts w:hint="eastAsia" w:asciiTheme="minorEastAsia" w:hAnsiTheme="minorEastAsia" w:eastAsiaTheme="minorEastAsia" w:cstheme="minorEastAsia"/>
                <w:sz w:val="21"/>
                <w:szCs w:val="21"/>
              </w:rPr>
            </w:pPr>
          </w:p>
        </w:tc>
        <w:tc>
          <w:tcPr>
            <w:tcW w:w="980" w:type="dxa"/>
            <w:vAlign w:val="top"/>
          </w:tcPr>
          <w:p w14:paraId="7FB340F9">
            <w:pPr>
              <w:rPr>
                <w:rFonts w:hint="eastAsia" w:asciiTheme="minorEastAsia" w:hAnsiTheme="minorEastAsia" w:eastAsiaTheme="minorEastAsia" w:cstheme="minorEastAsia"/>
                <w:sz w:val="21"/>
                <w:szCs w:val="21"/>
              </w:rPr>
            </w:pPr>
          </w:p>
        </w:tc>
      </w:tr>
      <w:tr w14:paraId="2363A9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9" w:hRule="atLeast"/>
        </w:trPr>
        <w:tc>
          <w:tcPr>
            <w:tcW w:w="1692" w:type="dxa"/>
            <w:gridSpan w:val="2"/>
            <w:vAlign w:val="top"/>
          </w:tcPr>
          <w:p w14:paraId="5A4D7EBE">
            <w:pPr>
              <w:keepNext w:val="0"/>
              <w:keepLines w:val="0"/>
              <w:pageBreakBefore w:val="0"/>
              <w:widowControl/>
              <w:kinsoku w:val="0"/>
              <w:wordWrap/>
              <w:overflowPunct/>
              <w:topLinePunct w:val="0"/>
              <w:autoSpaceDE w:val="0"/>
              <w:autoSpaceDN w:val="0"/>
              <w:bidi w:val="0"/>
              <w:adjustRightInd w:val="0"/>
              <w:snapToGrid w:val="0"/>
              <w:spacing w:line="240" w:lineRule="auto"/>
              <w:textAlignment w:val="baseline"/>
              <w:rPr>
                <w:rFonts w:ascii="Arial"/>
                <w:sz w:val="21"/>
                <w:szCs w:val="21"/>
              </w:rPr>
            </w:pPr>
          </w:p>
          <w:p w14:paraId="22B63668">
            <w:pPr>
              <w:pStyle w:val="5"/>
              <w:keepNext w:val="0"/>
              <w:keepLines w:val="0"/>
              <w:pageBreakBefore w:val="0"/>
              <w:widowControl/>
              <w:kinsoku w:val="0"/>
              <w:wordWrap/>
              <w:overflowPunct/>
              <w:topLinePunct w:val="0"/>
              <w:autoSpaceDE w:val="0"/>
              <w:autoSpaceDN w:val="0"/>
              <w:bidi w:val="0"/>
              <w:adjustRightInd w:val="0"/>
              <w:snapToGrid w:val="0"/>
              <w:spacing w:line="240" w:lineRule="auto"/>
              <w:ind w:left="525"/>
              <w:textAlignment w:val="baseline"/>
              <w:rPr>
                <w:sz w:val="21"/>
                <w:szCs w:val="21"/>
              </w:rPr>
            </w:pPr>
            <w:r>
              <w:rPr>
                <w:spacing w:val="2"/>
                <w:sz w:val="21"/>
                <w:szCs w:val="21"/>
              </w:rPr>
              <w:t>总得分</w:t>
            </w:r>
          </w:p>
        </w:tc>
        <w:tc>
          <w:tcPr>
            <w:tcW w:w="4800" w:type="dxa"/>
            <w:vAlign w:val="center"/>
          </w:tcPr>
          <w:p w14:paraId="00331012">
            <w:pPr>
              <w:keepNext w:val="0"/>
              <w:keepLines w:val="0"/>
              <w:pageBreakBefore w:val="0"/>
              <w:widowControl/>
              <w:kinsoku w:val="0"/>
              <w:wordWrap/>
              <w:overflowPunct/>
              <w:topLinePunct w:val="0"/>
              <w:autoSpaceDE w:val="0"/>
              <w:autoSpaceDN w:val="0"/>
              <w:bidi w:val="0"/>
              <w:adjustRightInd w:val="0"/>
              <w:snapToGrid w:val="0"/>
              <w:spacing w:line="240" w:lineRule="auto"/>
              <w:jc w:val="both"/>
              <w:textAlignment w:val="baseline"/>
              <w:rPr>
                <w:rFonts w:ascii="Arial"/>
                <w:sz w:val="21"/>
                <w:szCs w:val="21"/>
              </w:rPr>
            </w:pPr>
          </w:p>
        </w:tc>
        <w:tc>
          <w:tcPr>
            <w:tcW w:w="560" w:type="dxa"/>
            <w:vAlign w:val="center"/>
          </w:tcPr>
          <w:p w14:paraId="6A78BB2D">
            <w:pPr>
              <w:pStyle w:val="5"/>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default" w:eastAsia="宋体"/>
                <w:sz w:val="21"/>
                <w:szCs w:val="21"/>
                <w:lang w:val="en-US" w:eastAsia="zh-CN"/>
              </w:rPr>
            </w:pPr>
            <w:r>
              <w:rPr>
                <w:rFonts w:hint="eastAsia"/>
                <w:sz w:val="21"/>
                <w:szCs w:val="21"/>
                <w:lang w:val="en-US" w:eastAsia="zh-CN"/>
              </w:rPr>
              <w:t>100</w:t>
            </w:r>
          </w:p>
        </w:tc>
        <w:tc>
          <w:tcPr>
            <w:tcW w:w="980" w:type="dxa"/>
            <w:vAlign w:val="top"/>
          </w:tcPr>
          <w:p w14:paraId="68591FD3">
            <w:pPr>
              <w:keepNext w:val="0"/>
              <w:keepLines w:val="0"/>
              <w:pageBreakBefore w:val="0"/>
              <w:widowControl/>
              <w:kinsoku w:val="0"/>
              <w:wordWrap/>
              <w:overflowPunct/>
              <w:topLinePunct w:val="0"/>
              <w:autoSpaceDE w:val="0"/>
              <w:autoSpaceDN w:val="0"/>
              <w:bidi w:val="0"/>
              <w:adjustRightInd w:val="0"/>
              <w:snapToGrid w:val="0"/>
              <w:spacing w:line="240" w:lineRule="auto"/>
              <w:textAlignment w:val="baseline"/>
              <w:rPr>
                <w:rFonts w:ascii="Arial"/>
                <w:sz w:val="21"/>
                <w:szCs w:val="21"/>
              </w:rPr>
            </w:pPr>
          </w:p>
        </w:tc>
        <w:tc>
          <w:tcPr>
            <w:tcW w:w="980" w:type="dxa"/>
            <w:vAlign w:val="top"/>
          </w:tcPr>
          <w:p w14:paraId="37045CFE">
            <w:pPr>
              <w:keepNext w:val="0"/>
              <w:keepLines w:val="0"/>
              <w:pageBreakBefore w:val="0"/>
              <w:widowControl/>
              <w:kinsoku w:val="0"/>
              <w:wordWrap/>
              <w:overflowPunct/>
              <w:topLinePunct w:val="0"/>
              <w:autoSpaceDE w:val="0"/>
              <w:autoSpaceDN w:val="0"/>
              <w:bidi w:val="0"/>
              <w:adjustRightInd w:val="0"/>
              <w:snapToGrid w:val="0"/>
              <w:spacing w:line="240" w:lineRule="auto"/>
              <w:textAlignment w:val="baseline"/>
              <w:rPr>
                <w:rFonts w:ascii="Arial"/>
                <w:sz w:val="21"/>
                <w:szCs w:val="21"/>
              </w:rPr>
            </w:pPr>
          </w:p>
        </w:tc>
        <w:tc>
          <w:tcPr>
            <w:tcW w:w="980" w:type="dxa"/>
            <w:vAlign w:val="top"/>
          </w:tcPr>
          <w:p w14:paraId="5AB7902F">
            <w:pPr>
              <w:keepNext w:val="0"/>
              <w:keepLines w:val="0"/>
              <w:pageBreakBefore w:val="0"/>
              <w:widowControl/>
              <w:kinsoku w:val="0"/>
              <w:wordWrap/>
              <w:overflowPunct/>
              <w:topLinePunct w:val="0"/>
              <w:autoSpaceDE w:val="0"/>
              <w:autoSpaceDN w:val="0"/>
              <w:bidi w:val="0"/>
              <w:adjustRightInd w:val="0"/>
              <w:snapToGrid w:val="0"/>
              <w:spacing w:line="240" w:lineRule="auto"/>
              <w:textAlignment w:val="baseline"/>
              <w:rPr>
                <w:rFonts w:ascii="Arial"/>
                <w:sz w:val="21"/>
                <w:szCs w:val="21"/>
              </w:rPr>
            </w:pPr>
          </w:p>
        </w:tc>
      </w:tr>
    </w:tbl>
    <w:p w14:paraId="30AAA2A1">
      <w:pPr>
        <w:spacing w:line="72" w:lineRule="exact"/>
        <w:rPr>
          <w:sz w:val="21"/>
          <w:szCs w:val="21"/>
        </w:rPr>
      </w:pPr>
    </w:p>
    <w:p w14:paraId="295492CC">
      <w:pPr>
        <w:bidi w:val="0"/>
        <w:rPr>
          <w:rFonts w:hint="eastAsia" w:eastAsia="宋体"/>
          <w:sz w:val="21"/>
          <w:szCs w:val="21"/>
          <w:lang w:val="en-US" w:eastAsia="zh-CN"/>
        </w:rPr>
      </w:pPr>
      <w:r>
        <w:rPr>
          <w:sz w:val="21"/>
          <w:szCs w:val="21"/>
        </w:rPr>
        <w:t>评审人签名：　　　　　　监督人签字：　　　　　　评审日期：　　年　月　日</w:t>
      </w:r>
    </w:p>
    <w:p w14:paraId="6AB9220C">
      <w:pPr>
        <w:bidi w:val="0"/>
        <w:rPr>
          <w:rFonts w:hint="eastAsia" w:eastAsia="宋体"/>
          <w:lang w:val="en-US" w:eastAsia="zh-CN"/>
        </w:rPr>
      </w:pPr>
      <w:r>
        <w:rPr>
          <w:rFonts w:hint="eastAsia" w:eastAsia="宋体"/>
          <w:sz w:val="21"/>
          <w:szCs w:val="21"/>
          <w:lang w:val="en-US" w:eastAsia="zh-CN"/>
        </w:rPr>
        <w:t xml:space="preserve">                               </w:t>
      </w:r>
    </w:p>
    <w:p w14:paraId="465E1F68">
      <w:pPr>
        <w:bidi w:val="0"/>
        <w:rPr>
          <w:rFonts w:hint="eastAsia" w:eastAsia="宋体"/>
          <w:lang w:val="en-US" w:eastAsia="zh-CN"/>
        </w:rPr>
      </w:pPr>
      <w:r>
        <w:rPr>
          <w:rFonts w:hint="eastAsia" w:eastAsia="宋体"/>
          <w:lang w:val="en-US" w:eastAsia="zh-CN"/>
        </w:rPr>
        <w:t xml:space="preserve">           </w:t>
      </w:r>
    </w:p>
    <w:p w14:paraId="60BD3B24">
      <w:pPr>
        <w:bidi w:val="0"/>
        <w:rPr>
          <w:rFonts w:hint="eastAsia" w:eastAsia="宋体"/>
          <w:lang w:val="en-US" w:eastAsia="zh-CN"/>
        </w:rPr>
      </w:pPr>
      <w:r>
        <w:rPr>
          <w:rFonts w:hint="eastAsia" w:eastAsia="宋体"/>
          <w:lang w:val="en-US" w:eastAsia="zh-CN"/>
        </w:rPr>
        <w:t xml:space="preserve"> </w:t>
      </w:r>
    </w:p>
    <w:sectPr>
      <w:headerReference r:id="rId5" w:type="default"/>
      <w:pgSz w:w="11900" w:h="16780"/>
      <w:pgMar w:top="720" w:right="720" w:bottom="720" w:left="1140" w:header="0" w:footer="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1A98A8">
    <w:pPr>
      <w:spacing w:line="14" w:lineRule="auto"/>
      <w:rPr>
        <w:rFonts w:ascii="Arial"/>
        <w:sz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doNotUseIndentAsNumberingTabStop/>
    <w:compatSetting w:name="compatibilityMode" w:uri="http://schemas.microsoft.com/office/word" w:val="14"/>
  </w:compat>
  <w:docVars>
    <w:docVar w:name="commondata" w:val="eyJoZGlkIjoiZWI3YmQ5MTViNjhmZjEwYmQ2MjAwMjgzOGExOGY3MzEifQ=="/>
  </w:docVars>
  <w:rsids>
    <w:rsidRoot w:val="00000000"/>
    <w:rsid w:val="036C32FB"/>
    <w:rsid w:val="0CD30126"/>
    <w:rsid w:val="178D1819"/>
    <w:rsid w:val="259258BE"/>
    <w:rsid w:val="2B2636BF"/>
    <w:rsid w:val="323C34E8"/>
    <w:rsid w:val="39E223AC"/>
    <w:rsid w:val="3CD13DD3"/>
    <w:rsid w:val="43DD6F8C"/>
    <w:rsid w:val="48721D37"/>
    <w:rsid w:val="4C2757BD"/>
    <w:rsid w:val="4ED15A37"/>
    <w:rsid w:val="58A545FC"/>
    <w:rsid w:val="5D9068F2"/>
    <w:rsid w:val="5F0B6155"/>
    <w:rsid w:val="5F2A3357"/>
    <w:rsid w:val="5F2C3297"/>
    <w:rsid w:val="6B4B21EC"/>
    <w:rsid w:val="77933457"/>
    <w:rsid w:val="7F1B5A5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customStyle="1" w:styleId="4">
    <w:name w:val="Table Normal"/>
    <w:semiHidden/>
    <w:unhideWhenUsed/>
    <w:qFormat/>
    <w:uiPriority w:val="0"/>
    <w:tblPr>
      <w:tblCellMar>
        <w:top w:w="0" w:type="dxa"/>
        <w:left w:w="0" w:type="dxa"/>
        <w:bottom w:w="0" w:type="dxa"/>
        <w:right w:w="0" w:type="dxa"/>
      </w:tblCellMar>
    </w:tblPr>
  </w:style>
  <w:style w:type="paragraph" w:customStyle="1" w:styleId="5">
    <w:name w:val="Table Text"/>
    <w:basedOn w:val="1"/>
    <w:semiHidden/>
    <w:qFormat/>
    <w:uiPriority w:val="0"/>
    <w:rPr>
      <w:rFonts w:ascii="宋体" w:hAnsi="宋体" w:eastAsia="宋体" w:cs="宋体"/>
      <w:sz w:val="19"/>
      <w:szCs w:val="19"/>
      <w:lang w:val="en-US" w:eastAsia="en-US"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3</Pages>
  <Words>1653</Words>
  <Characters>1690</Characters>
  <TotalTime>33</TotalTime>
  <ScaleCrop>false</ScaleCrop>
  <LinksUpToDate>false</LinksUpToDate>
  <CharactersWithSpaces>1759</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2024-09-27T14:58:00Z</dcterms:created>
  <dc:creator>Kingsoft-PDF</dc:creator>
  <cp:lastModifiedBy>wJn</cp:lastModifiedBy>
  <dcterms:modified xsi:type="dcterms:W3CDTF">2026-10-26T02:04:46Z</dcterms:modified>
  <dc:subject>pdfbuilder</dc:subject>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wqlLaW5nc29mdCBQREYgdG8gV1BTIDEwMA</vt:lpwstr>
  </property>
  <property fmtid="{D5CDD505-2E9C-101B-9397-08002B2CF9AE}" pid="3" name="Created">
    <vt:filetime>2024-09-27T14:58:28Z</vt:filetime>
  </property>
  <property fmtid="{D5CDD505-2E9C-101B-9397-08002B2CF9AE}" pid="4" name="UsrData">
    <vt:lpwstr>66f65790190bd90020f9ba42wl</vt:lpwstr>
  </property>
  <property fmtid="{D5CDD505-2E9C-101B-9397-08002B2CF9AE}" pid="5" name="KSOProductBuildVer">
    <vt:lpwstr>2052-12.1.0.28505</vt:lpwstr>
  </property>
  <property fmtid="{D5CDD505-2E9C-101B-9397-08002B2CF9AE}" pid="6" name="ICV">
    <vt:lpwstr>85E25022B8BF4CFAA1BC46EEC1F63F13_13</vt:lpwstr>
  </property>
  <property fmtid="{D5CDD505-2E9C-101B-9397-08002B2CF9AE}" pid="7" name="KSOTemplateDocerSaveRecord">
    <vt:lpwstr>eyJoZGlkIjoiZWFhNzAyZjg1OGI3ZDM3NTAzNmI4OWJjZDU1ZWUyMWYiLCJ1c2VySWQiOiI0ODYyNDM3MzAifQ==</vt:lpwstr>
  </property>
</Properties>
</file>